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213.png" ContentType="image/png"/>
  <Override PartName="/word/media/rId229.png" ContentType="image/png"/>
  <Override PartName="/word/media/rId82.png" ContentType="image/png"/>
  <Override PartName="/word/media/rId53.png" ContentType="image/png"/>
  <Override PartName="/word/media/rId57.png" ContentType="image/png"/>
  <Override PartName="/word/media/rId49.png" ContentType="image/png"/>
  <Override PartName="/word/media/rId99.png" ContentType="image/png"/>
  <Override PartName="/word/media/rId65.png" ContentType="image/png"/>
  <Override PartName="/word/media/rId217.png" ContentType="image/png"/>
  <Override PartName="/word/media/rId69.png" ContentType="image/png"/>
  <Override PartName="/word/media/rId61.png" ContentType="image/png"/>
  <Override PartName="/word/media/rId73.png" ContentType="image/png"/>
  <Override PartName="/word/media/rId86.png" ContentType="image/png"/>
  <Override PartName="/word/media/rId90.png" ContentType="image/png"/>
  <Override PartName="/word/media/rId225.png" ContentType="image/png"/>
  <Override PartName="/word/media/rId95.png" ContentType="image/png"/>
  <Override PartName="/word/media/rId221.png" ContentType="image/png"/>
  <Override PartName="/word/media/rId209.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p>
    <w:p>
      <w:pPr>
        <w:pStyle w:val="Author"/>
      </w:pPr>
      <w:r>
        <w:t xml:space="preserve">Florian</w:t>
      </w:r>
      <w:r>
        <w:t xml:space="preserve"> </w:t>
      </w:r>
      <w:r>
        <w:t xml:space="preserve">Franz</w:t>
      </w:r>
    </w:p>
    <w:p>
      <w:pPr>
        <w:pStyle w:val="Author"/>
      </w:pPr>
      <w:r>
        <w:t xml:space="preserve">Frauke</w:t>
      </w:r>
      <w:r>
        <w:t xml:space="preserve"> </w:t>
      </w:r>
      <w:r>
        <w:t xml:space="preserve">Gräter</w:t>
      </w:r>
    </w:p>
    <w:p>
      <w:pPr>
        <w:pStyle w:val="Date"/>
      </w:pPr>
      <w:r>
        <w:t xml:space="preserve">July</w:t>
      </w:r>
      <w:r>
        <w:t xml:space="preserve"> </w:t>
      </w:r>
      <w:r>
        <w:t xml:space="preserve">18,</w:t>
      </w:r>
      <w:r>
        <w:t xml:space="preserve"> </w:t>
      </w:r>
      <w:r>
        <w:t xml:space="preserve">2022</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(1–4)</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 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the subdomains F0 to F3 and provides a link to the cystosolic side of the plasma membrane</w:t>
      </w:r>
      <w:r>
        <w:t xml:space="preserve"> </w:t>
      </w:r>
      <w:r>
        <w:t xml:space="preserve">(9)</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 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only identified a minor role of the loop 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has been shown to contribute to talin-mediated integrin activation</w:t>
      </w:r>
      <w:r>
        <w:t xml:space="preserve"> </w:t>
      </w:r>
      <w:r>
        <w:t xml:space="preserve">(13)</w:t>
      </w:r>
      <w:r>
        <w:t xml:space="preserve">.</w:t>
      </w:r>
    </w:p>
    <w:p>
      <w:pPr>
        <w:pStyle w:val="BodyText"/>
      </w:pPr>
      <w:r>
        <w:t xml:space="preserve">It was previously shown that F3 can interact with R9, which impedes integrin activation</w:t>
      </w:r>
      <w:r>
        <w:t xml:space="preserve"> </w:t>
      </w:r>
      <w:r>
        <w:t xml:space="preserve">(22)</w:t>
      </w:r>
      <w:r>
        <w:t xml:space="preserve">.</w:t>
      </w:r>
      <w:r>
        <w:t xml:space="preserve"> </w:t>
      </w:r>
      <w:r>
        <w:t xml:space="preserve">Furthermore, in a recently determined cryo-electron microscopy structure of autoinhibited Talin1, Dedden et al.</w:t>
      </w:r>
      <w:r>
        <w:t xml:space="preserve"> </w:t>
      </w:r>
      <w:r>
        <w:t xml:space="preserve">(23)</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34" w:name="fig-tln-schema-long"/>
                <w:p>
                  <w:pPr>
                    <w:pStyle w:val="Figure"/>
                    <w:jc w:val="center"/>
                    <w:jc w:val="center"/>
                  </w:pPr>
                  <w:r>
                    <w:drawing>
                      <wp:inline>
                        <wp:extent cx="5334000" cy="2051538"/>
                        <wp:effectExtent b="0" l="0" r="0" t="0"/>
                        <wp:docPr descr=""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34"/>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8" w:name="fig-tln-schema-autoinhib"/>
                <w:p>
                  <w:pPr>
                    <w:pStyle w:val="Figure"/>
                    <w:jc w:val="center"/>
                    <w:jc w:val="center"/>
                  </w:pPr>
                  <w:r>
                    <w:drawing>
                      <wp:inline>
                        <wp:extent cx="2971800" cy="2166937"/>
                        <wp:effectExtent b="0" l="0" r="0" t="0"/>
                        <wp:docPr descr=""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38"/>
              </w:tc>
            </w:tr>
          </w:tbl>
          <w:p/>
        </w:tc>
        <w:tc>
          <w:tcPr/>
          <w:tbl>
            <w:tblPr>
              <w:tblStyle w:val="Table"/>
              <w:tblW w:type="pct" w:w="5000"/>
              <w:tblLook w:firstRow="0" w:lastRow="0" w:firstColumn="0" w:lastColumn="0" w:noHBand="0" w:noVBand="0" w:val="0000"/>
            </w:tblPr>
            <w:tblGrid>
              <w:gridCol w:w="7920"/>
            </w:tblGrid>
            <w:tr>
              <w:tc>
                <w:tcPr/>
                <w:bookmarkStart w:id="42" w:name="fig-tln-align-autoinhib"/>
                <w:p>
                  <w:pPr>
                    <w:pStyle w:val="Figure"/>
                    <w:jc w:val="center"/>
                    <w:jc w:val="center"/>
                  </w:pPr>
                  <w:r>
                    <w:drawing>
                      <wp:inline>
                        <wp:extent cx="2971800" cy="2166937"/>
                        <wp:effectExtent b="0" l="0" r="0" t="0"/>
                        <wp:docPr descr=""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42"/>
              </w:tc>
            </w:tr>
          </w:tbl>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shown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8.1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(14)</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 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8.1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were not modeled, leaving us with with a continuous sequence from residue 1 to 398.</w:t>
      </w:r>
      <w:r>
        <w:t xml:space="preserve"> </w:t>
      </w:r>
      <w:r>
        <w:t xml:space="preserve">Simulations were performed with the CHARM36 force field.</w:t>
      </w:r>
      <w:r>
        <w:t xml:space="preserve"> </w:t>
      </w:r>
      <w:r>
        <w:t xml:space="preserve">Topologies, including the membrane, were generated with the CHARM-GUI web app</w:t>
      </w:r>
      <w:r>
        <w:t xml:space="preserve"> </w:t>
      </w:r>
      <w:r>
        <w:t xml:space="preserve">(32–34)</w:t>
      </w:r>
      <w:r>
        <w:t xml:space="preserve"> </w:t>
      </w:r>
      <w:r>
        <w:t xml:space="preserve">and GROMACS tools.</w:t>
      </w:r>
      <w:r>
        <w:t xml:space="preserve"> </w:t>
      </w:r>
      <w:r>
        <w:t xml:space="preserve">All simulations used the TIP3P water model and were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w:t>
      </w:r>
      <w:r>
        <w:t xml:space="preserve"> </w:t>
      </w:r>
      <w:r>
        <w:t xml:space="preserve">NTP-ensembles were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in</w:t>
      </w:r>
      <w:r>
        <w:t xml:space="preserve"> </w:t>
      </w:r>
      <w:hyperlink w:anchor="sec-prod-mdp">
        <w:r>
          <w:rPr>
            <w:rStyle w:val="Hyperlink"/>
          </w:rPr>
          <w:t xml:space="preserve">Section 8.3.1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loop-membrane interactions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were also chose from the rotational sampling set.</w:t>
      </w:r>
    </w:p>
    <w:p>
      <w:pPr>
        <w:pStyle w:val="BodyText"/>
      </w:pPr>
      <w:r>
        <w:t xml:space="preserve">Distance information was extracted from trajectories with gromacs tools interfaced via CONAN</w:t>
      </w:r>
      <w:r>
        <w:t xml:space="preserve"> </w:t>
      </w:r>
      <w:r>
        <w:t xml:space="preserve">(38)</w:t>
      </w:r>
      <w:r>
        <w:t xml:space="preserve">.</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Computations for data analysis were tracked with the targets R package</w:t>
      </w:r>
      <w:r>
        <w:t xml:space="preserve"> </w:t>
      </w:r>
      <w:r>
        <w:t xml:space="preserve">(39)</w:t>
      </w:r>
      <w:r>
        <w:t xml:space="preserve">.</w:t>
      </w:r>
      <w:r>
        <w:t xml:space="preserve"> </w:t>
      </w:r>
      <w:r>
        <w:t xml:space="preserve">Plots were generated with ggplot2</w:t>
      </w:r>
      <w:r>
        <w:t xml:space="preserve"> </w:t>
      </w:r>
      <w:r>
        <w:t xml:space="preserve">(40)</w:t>
      </w:r>
      <w:r>
        <w:t xml:space="preserve">.</w:t>
      </w:r>
      <w:r>
        <w:t xml:space="preserve"> </w:t>
      </w:r>
      <w:r>
        <w:t xml:space="preserve">Interactive structure representations are embedded using Mol*</w:t>
      </w:r>
      <w:r>
        <w:t xml:space="preserve"> </w:t>
      </w:r>
      <w:r>
        <w:t xml:space="preserve">(41)</w:t>
      </w:r>
      <w:r>
        <w:t xml:space="preserve">.</w:t>
      </w:r>
      <w:r>
        <w:t xml:space="preserve"> </w:t>
      </w:r>
      <w:r>
        <w:t xml:space="preserve">Schematic visualizations were rendered with blender</w:t>
      </w:r>
      <w:r>
        <w:t xml:space="preserve"> </w:t>
      </w:r>
      <w:r>
        <w:t xml:space="preserve">(42)</w:t>
      </w:r>
      <w:r>
        <w:t xml:space="preserve"> </w:t>
      </w:r>
      <w:r>
        <w:t xml:space="preserve">and VMD</w:t>
      </w:r>
      <w:r>
        <w:t xml:space="preserve"> </w:t>
      </w:r>
      <w:r>
        <w:t xml:space="preserve">(43)</w:t>
      </w:r>
      <w:r>
        <w:t xml:space="preserve">.</w:t>
      </w:r>
      <w:r>
        <w:t xml:space="preserve"> </w:t>
      </w:r>
      <w:r>
        <w:t xml:space="preserve">Files relevant to this paper that are too big to be uploaded to this repository, such as trajectories and blender files, will be uploaded to a separate location.</w:t>
      </w:r>
      <w:r>
        <w:t xml:space="preserve"> </w:t>
      </w:r>
      <w:r>
        <w:t xml:space="preserve">This paper and the matching poster were generated with</w:t>
      </w:r>
      <w:r>
        <w:t xml:space="preserve"> </w:t>
      </w:r>
      <w:hyperlink r:id="rId45">
        <w:r>
          <w:rPr>
            <w:rStyle w:val="Hyperlink"/>
          </w:rPr>
          <w:t xml:space="preserve">quarto</w:t>
        </w:r>
      </w:hyperlink>
      <w:r>
        <w:t xml:space="preserve"> </w:t>
      </w:r>
      <w:r>
        <w:t xml:space="preserve">(44–46)</w:t>
      </w:r>
      <w:r>
        <w:t xml:space="preserve">.</w:t>
      </w:r>
    </w:p>
    <w:bookmarkEnd w:id="46"/>
    <w:bookmarkEnd w:id="47"/>
    <w:bookmarkStart w:id="104" w:name="results"/>
    <w:p>
      <w:pPr>
        <w:pStyle w:val="Heading1"/>
      </w:pPr>
      <w:r>
        <w:t xml:space="preserve">Results</w:t>
      </w:r>
    </w:p>
    <w:bookmarkStart w:id="80"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7 (a)</w:t>
        </w:r>
      </w:hyperlink>
      <w:r>
        <w:t xml:space="preserve">), 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8.1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w:t>
      </w:r>
      <w:r>
        <w:t xml:space="preserve"> </w:t>
      </w:r>
      <w:r>
        <w:t xml:space="preserve">And once contact had been established the protein was anchored strongly enough for more contacts to evolve with time, pulling the protein onto the membrane (</w:t>
      </w:r>
      <w:hyperlink w:anchor="fig-f0f1-unbound">
        <w:r>
          <w:rPr>
            <w:rStyle w:val="Hyperlink"/>
          </w:rPr>
          <w:t xml:space="preserve">see Figure 3 (a)</w:t>
        </w:r>
      </w:hyperlink>
      <w:r>
        <w:t xml:space="preserve">, </w:t>
      </w:r>
      <w:hyperlink w:anchor="fig-f0f1-anchored">
        <w:r>
          <w:rPr>
            <w:rStyle w:val="Hyperlink"/>
          </w:rPr>
          <w:t xml:space="preserve">3 (b)</w:t>
        </w:r>
      </w:hyperlink>
      <w:r>
        <w:t xml:space="preserve">, </w:t>
      </w:r>
      <w:hyperlink w:anchor="fig-f0f1-bound">
        <w:r>
          <w:rPr>
            <w:rStyle w:val="Hyperlink"/>
          </w:rPr>
          <w:t xml:space="preserve">3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3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3 (a)</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7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3 (b)</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bookmarkStart w:id="52" w:name="fig-f0f1-unbound"/>
                <w:p>
                  <w:pPr>
                    <w:pStyle w:val="Figure"/>
                    <w:jc w:val="center"/>
                    <w:jc w:val="center"/>
                  </w:pPr>
                  <w:r>
                    <w:drawing>
                      <wp:inline>
                        <wp:extent cx="1975104" cy="1110996"/>
                        <wp:effectExtent b="0" l="0" r="0" t="0"/>
                        <wp:docPr descr=""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52"/>
              </w:tc>
            </w:tr>
          </w:tbl>
          <w:p/>
        </w:tc>
        <w:tc>
          <w:tcPr/>
          <w:tbl>
            <w:tblPr>
              <w:tblStyle w:val="Table"/>
              <w:tblW w:type="pct" w:w="5000"/>
              <w:tblLook w:firstRow="0" w:lastRow="0" w:firstColumn="0" w:lastColumn="0" w:noHBand="0" w:noVBand="0" w:val="0000"/>
            </w:tblPr>
            <w:tblGrid>
              <w:gridCol w:w="7920"/>
            </w:tblGrid>
            <w:tr>
              <w:tc>
                <w:tcPr/>
                <w:bookmarkStart w:id="56" w:name="fig-f0f1-anchored"/>
                <w:p>
                  <w:pPr>
                    <w:pStyle w:val="Figure"/>
                    <w:jc w:val="center"/>
                    <w:jc w:val="center"/>
                  </w:pPr>
                  <w:r>
                    <w:drawing>
                      <wp:inline>
                        <wp:extent cx="1975104" cy="1110996"/>
                        <wp:effectExtent b="0" l="0" r="0" t="0"/>
                        <wp:docPr descr=""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56"/>
              </w:tc>
            </w:tr>
          </w:tbl>
          <w:p/>
        </w:tc>
        <w:tc>
          <w:tcPr/>
          <w:tbl>
            <w:tblPr>
              <w:tblStyle w:val="Table"/>
              <w:tblW w:type="pct" w:w="5000"/>
              <w:tblLook w:firstRow="0" w:lastRow="0" w:firstColumn="0" w:lastColumn="0" w:noHBand="0" w:noVBand="0" w:val="0000"/>
            </w:tblPr>
            <w:tblGrid>
              <w:gridCol w:w="7920"/>
            </w:tblGrid>
            <w:tr>
              <w:tc>
                <w:tcPr/>
                <w:bookmarkStart w:id="60" w:name="fig-f0f1-bound"/>
                <w:p>
                  <w:pPr>
                    <w:pStyle w:val="Figure"/>
                    <w:jc w:val="center"/>
                    <w:jc w:val="center"/>
                  </w:pPr>
                  <w:r>
                    <w:drawing>
                      <wp:inline>
                        <wp:extent cx="1975104" cy="1110996"/>
                        <wp:effectExtent b="0" l="0" r="0" t="0"/>
                        <wp:docPr descr=""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6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4" w:name="fig-f0f1-ri-angle"/>
                <w:p>
                  <w:pPr>
                    <w:pStyle w:val="Figure"/>
                    <w:jc w:val="center"/>
                    <w:jc w:val="center"/>
                  </w:pPr>
                  <w:r>
                    <w:drawing>
                      <wp:inline>
                        <wp:extent cx="5334000" cy="3810000"/>
                        <wp:effectExtent b="0" l="0" r="0" t="0"/>
                        <wp:docPr descr="" title="" id="62" name="Picture"/>
                        <a:graphic>
                          <a:graphicData uri="http://schemas.openxmlformats.org/drawingml/2006/picture">
                            <pic:pic>
                              <pic:nvPicPr>
                                <pic:cNvPr descr="./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64"/>
              </w:tc>
            </w:tr>
          </w:tbl>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68" w:name="fig-f0f1-angle-frame"/>
                <w:p>
                  <w:pPr>
                    <w:pStyle w:val="Figure"/>
                    <w:jc w:val="center"/>
                    <w:jc w:val="center"/>
                  </w:pPr>
                  <w:r>
                    <w:drawing>
                      <wp:inline>
                        <wp:extent cx="2971800" cy="2122714"/>
                        <wp:effectExtent b="0" l="0" r="0" t="0"/>
                        <wp:docPr descr="" title="" id="66" name="Picture"/>
                        <a:graphic>
                          <a:graphicData uri="http://schemas.openxmlformats.org/drawingml/2006/picture">
                            <pic:pic>
                              <pic:nvPicPr>
                                <pic:cNvPr descr="./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68"/>
              </w:tc>
            </w:tr>
          </w:tbl>
          <w:p/>
        </w:tc>
        <w:tc>
          <w:tcPr/>
          <w:tbl>
            <w:tblPr>
              <w:tblStyle w:val="Table"/>
              <w:tblW w:type="pct" w:w="5000"/>
              <w:tblLook w:firstRow="0" w:lastRow="0" w:firstColumn="0" w:lastColumn="0" w:noHBand="0" w:noVBand="0" w:val="0000"/>
            </w:tblPr>
            <w:tblGrid>
              <w:gridCol w:w="7920"/>
            </w:tblGrid>
            <w:tr>
              <w:tc>
                <w:tcPr/>
                <w:bookmarkStart w:id="72" w:name="fig-f0f1-retention"/>
                <w:p>
                  <w:pPr>
                    <w:pStyle w:val="Figure"/>
                    <w:jc w:val="center"/>
                    <w:jc w:val="center"/>
                  </w:pPr>
                  <w:r>
                    <w:drawing>
                      <wp:inline>
                        <wp:extent cx="2971800" cy="2122714"/>
                        <wp:effectExtent b="0" l="0" r="0" t="0"/>
                        <wp:docPr descr="" title="" id="70" name="Picture"/>
                        <a:graphic>
                          <a:graphicData uri="http://schemas.openxmlformats.org/drawingml/2006/picture">
                            <pic:pic>
                              <pic:nvPicPr>
                                <pic:cNvPr descr="./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72"/>
              </w:tc>
            </w:tr>
          </w:tbl>
          <w:p/>
        </w:tc>
      </w:tr>
    </w:tbl>
    <w:p>
      <w:pPr>
        <w:pStyle w:val="BodyText"/>
      </w:pPr>
      <w:pPr>
        <w:spacing w:before="200"/>
        <w:pStyle w:val="ImageCaption"/>
      </w:pPr>
      <w:r>
        <w:t xml:space="preserve">Figure 3:</w:t>
      </w:r>
      <w:r>
        <w:t xml:space="preserve"> </w:t>
      </w:r>
      <w:r>
        <w:rPr>
          <w:bCs/>
          <w:b/>
        </w:rPr>
        <w:t xml:space="preserve">a)</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w:t>
      </w:r>
      <w:r>
        <w:t xml:space="preserve"> </w:t>
      </w:r>
      <w:r>
        <w:t xml:space="preserve">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b)</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76" w:name="fig-f0f1-ri-npip"/>
                <w:p>
                  <w:pPr>
                    <w:pStyle w:val="Figure"/>
                    <w:jc w:val="center"/>
                    <w:jc w:val="center"/>
                  </w:pPr>
                  <w:r>
                    <w:drawing>
                      <wp:inline>
                        <wp:extent cx="5334000" cy="3810000"/>
                        <wp:effectExtent b="0" l="0" r="0" t="0"/>
                        <wp:docPr descr="" title="" id="74" name="Picture"/>
                        <a:graphic>
                          <a:graphicData uri="http://schemas.openxmlformats.org/drawingml/2006/picture">
                            <pic:pic>
                              <pic:nvPicPr>
                                <pic:cNvPr descr="./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76"/>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77" w:name="fig-f1f1-residues"/>
          <w:p>
            <w:pPr>
              <w:jc w:val="center"/>
            </w:pPr>
            <w:pPr>
              <w:jc w:val="center"/>
              <w:spacing w:before="200"/>
              <w:pStyle w:val="ImageCaption"/>
            </w:pPr>
            <w:r>
              <w:t xml:space="preserve">(b)  </w:t>
            </w:r>
          </w:p>
          <w:bookmarkEnd w:id="77"/>
        </w:tc>
      </w:tr>
    </w:tbl>
    <w:p>
      <w:pPr>
        <w:pStyle w:val="BodyText"/>
      </w:pPr>
      <w:pPr>
        <w:spacing w:before="200"/>
        <w:pStyle w:val="ImageCaption"/>
      </w:pPr>
      <w:r>
        <w:t xml:space="preserve">Figure 4: PIP</w:t>
      </w:r>
      <w:r>
        <w:rPr>
          <w:vertAlign w:val="subscript"/>
        </w:rPr>
        <w:t xml:space="preserve">2</w:t>
      </w:r>
      <w:r>
        <w:t xml:space="preserve">-interacting residues of F0-F1.</w:t>
      </w:r>
      <w:r>
        <w:t xml:space="preserve"> </w:t>
      </w:r>
      <w:r>
        <w:rPr>
          <w:bCs/>
          <w:b/>
        </w:rPr>
        <w:t xml:space="preserve">a)</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b)</w:t>
      </w:r>
      <w:r>
        <w:t xml:space="preserve">.</w:t>
      </w:r>
      <w:r>
        <w:t xml:space="preserve"> </w:t>
      </w:r>
      <w:r>
        <w:t xml:space="preserve">(For the print version it is just a placeholder image. The video is available in the web-version (</w:t>
      </w:r>
      <w:hyperlink r:id="rId78">
        <w:r>
          <w:rPr>
            <w:rStyle w:val="Hyperlink"/>
          </w:rPr>
          <w:t xml:space="preserve">https://hits-mbm-dev.github.io/paper-talin-loop</w:t>
        </w:r>
      </w:hyperlink>
      <w:r>
        <w:t xml:space="preserve">) or here:</w:t>
      </w:r>
      <w:r>
        <w:t xml:space="preserve"> </w:t>
      </w:r>
      <w:hyperlink r:id="rId79">
        <w:r>
          <w:rPr>
            <w:rStyle w:val="Hyperlink"/>
          </w:rPr>
          <w:t xml:space="preserve">https://youtu.be/s5yya0XeNTA</w:t>
        </w:r>
      </w:hyperlink>
      <w:r>
        <w:t xml:space="preserve">).</w:t>
      </w:r>
    </w:p>
    <w:bookmarkEnd w:id="80"/>
    <w:bookmarkStart w:id="103"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to test the strength of the interaction (</w:t>
      </w:r>
      <w:hyperlink w:anchor="fig-f0f1-vert-pull-vmd">
        <w:r>
          <w:rPr>
            <w:rStyle w:val="Hyperlink"/>
          </w:rPr>
          <w:t xml:space="preserve">Figure 5 (b)</w:t>
        </w:r>
      </w:hyperlink>
      <w:r>
        <w:t xml:space="preserve">).</w:t>
      </w:r>
      <w:r>
        <w:t xml:space="preserve"> </w:t>
      </w:r>
      <w:r>
        <w:t xml:space="preserve">An exemplary render of one of the simulations can be seen in</w:t>
      </w:r>
      <w:r>
        <w:t xml:space="preserve"> </w:t>
      </w:r>
      <w:hyperlink w:anchor="fig-f0f1-pull-run-1">
        <w:r>
          <w:rPr>
            <w:rStyle w:val="Hyperlink"/>
          </w:rPr>
          <w:t xml:space="preserve">Figure 5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5 (c)</w:t>
        </w:r>
      </w:hyperlink>
      <w:r>
        <w:t xml:space="preserve">).</w:t>
      </w:r>
      <w:r>
        <w:t xml:space="preserve"> </w:t>
      </w:r>
      <w:r>
        <w:t xml:space="preserve">This highlights the strong anchoring capabilities of the F1 loop.</w:t>
      </w:r>
      <w:r>
        <w:t xml:space="preserve"> </w:t>
      </w:r>
      <w:r>
        <w:t xml:space="preserve">As seen in</w:t>
      </w:r>
      <w:r>
        <w:t xml:space="preserve"> </w:t>
      </w:r>
      <w:hyperlink w:anchor="fig-f0f1-vert-pull-contacts">
        <w:r>
          <w:rPr>
            <w:rStyle w:val="Hyperlink"/>
          </w:rPr>
          <w:t xml:space="preserve">Figure 5 (d)</w:t>
        </w:r>
      </w:hyperlink>
      <w:r>
        <w:t xml:space="preserve">, during pulling residues not belonging to the F1 loop loose contact first, while the loop stays attached.</w:t>
      </w:r>
      <w:r>
        <w:t xml:space="preserve"> </w:t>
      </w:r>
      <w:r>
        <w:t xml:space="preserve">The F1 loop works in conjunction with the F0 subdomain (see</w:t>
      </w:r>
      <w:r>
        <w:t xml:space="preserve"> </w:t>
      </w:r>
      <w:hyperlink w:anchor="fig-f0f1-vert-pull-residues">
        <w:r>
          <w:rPr>
            <w:rStyle w:val="Hyperlink"/>
          </w:rPr>
          <w:t xml:space="preserve">Figure 7 (d)</w:t>
        </w:r>
      </w:hyperlink>
      <w:r>
        <w:t xml:space="preserve">).</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4870"/>
        <w:gridCol w:w="3049"/>
      </w:tblGrid>
      <w:tr>
        <w:tc>
          <w:tcPr/>
          <w:bookmarkStart w:id="81" w:name="fig-f0f1-pull-run-1"/>
          <w:p>
            <w:pPr>
              <w:jc w:val="center"/>
            </w:pPr>
            <w:pPr>
              <w:jc w:val="center"/>
              <w:spacing w:before="200"/>
              <w:pStyle w:val="ImageCaption"/>
            </w:pPr>
            <w:r>
              <w:t xml:space="preserve">(a)  </w:t>
            </w:r>
          </w:p>
          <w:bookmarkEnd w:id="81"/>
        </w:tc>
        <w:tc>
          <w:tcPr/>
          <w:tbl>
            <w:tblPr>
              <w:tblStyle w:val="Table"/>
              <w:tblW w:type="pct" w:w="5000"/>
              <w:tblLook w:firstRow="0" w:lastRow="0" w:firstColumn="0" w:lastColumn="0" w:noHBand="0" w:noVBand="0" w:val="0000"/>
            </w:tblPr>
            <w:tblGrid>
              <w:gridCol w:w="7920"/>
            </w:tblGrid>
            <w:tr>
              <w:tc>
                <w:tcPr/>
                <w:bookmarkStart w:id="85" w:name="fig-f0f1-vert-pull-vmd"/>
                <w:p>
                  <w:pPr>
                    <w:pStyle w:val="Figure"/>
                    <w:jc w:val="center"/>
                    <w:jc w:val="center"/>
                  </w:pPr>
                  <w:r>
                    <w:drawing>
                      <wp:inline>
                        <wp:extent cx="2286000" cy="2383871"/>
                        <wp:effectExtent b="0" l="0" r="0" t="0"/>
                        <wp:docPr descr="" title="" id="83" name="Picture"/>
                        <a:graphic>
                          <a:graphicData uri="http://schemas.openxmlformats.org/drawingml/2006/picture">
                            <pic:pic>
                              <pic:nvPicPr>
                                <pic:cNvPr descr="./assets/vmd/f0f1-pulling/vert-pull.png" id="84" name="Picture"/>
                                <pic:cNvPicPr>
                                  <a:picLocks noChangeArrowheads="1" noChangeAspect="1"/>
                                </pic:cNvPicPr>
                              </pic:nvPicPr>
                              <pic:blipFill>
                                <a:blip r:embed="rId82"/>
                                <a:stretch>
                                  <a:fillRect/>
                                </a:stretch>
                              </pic:blipFill>
                              <pic:spPr bwMode="auto">
                                <a:xfrm>
                                  <a:off x="0" y="0"/>
                                  <a:ext cx="2286000" cy="238387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85"/>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89" w:name="fig-f0f1-vert-pull"/>
                <w:p>
                  <w:pPr>
                    <w:pStyle w:val="Figure"/>
                    <w:jc w:val="center"/>
                    <w:jc w:val="center"/>
                  </w:pPr>
                  <w:r>
                    <w:drawing>
                      <wp:inline>
                        <wp:extent cx="2971800" cy="2122714"/>
                        <wp:effectExtent b="0" l="0" r="0" t="0"/>
                        <wp:docPr descr="" title="" id="87" name="Picture"/>
                        <a:graphic>
                          <a:graphicData uri="http://schemas.openxmlformats.org/drawingml/2006/picture">
                            <pic:pic>
                              <pic:nvPicPr>
                                <pic:cNvPr descr="./results/plots/f0f1-vert-pull-1.png" id="88" name="Picture"/>
                                <pic:cNvPicPr>
                                  <a:picLocks noChangeArrowheads="1" noChangeAspect="1"/>
                                </pic:cNvPicPr>
                              </pic:nvPicPr>
                              <pic:blipFill>
                                <a:blip r:embed="rId86"/>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89"/>
              </w:tc>
            </w:tr>
          </w:tbl>
          <w:p/>
        </w:tc>
        <w:tc>
          <w:tcPr/>
          <w:tbl>
            <w:tblPr>
              <w:tblStyle w:val="Table"/>
              <w:tblW w:type="pct" w:w="5000"/>
              <w:tblLook w:firstRow="0" w:lastRow="0" w:firstColumn="0" w:lastColumn="0" w:noHBand="0" w:noVBand="0" w:val="0000"/>
            </w:tblPr>
            <w:tblGrid>
              <w:gridCol w:w="7920"/>
            </w:tblGrid>
            <w:tr>
              <w:tc>
                <w:tcPr/>
                <w:bookmarkStart w:id="93" w:name="fig-f0f1-vert-pull-contacts"/>
                <w:p>
                  <w:pPr>
                    <w:pStyle w:val="Figure"/>
                    <w:jc w:val="center"/>
                    <w:jc w:val="center"/>
                  </w:pPr>
                  <w:r>
                    <w:drawing>
                      <wp:inline>
                        <wp:extent cx="2971800" cy="2122714"/>
                        <wp:effectExtent b="0" l="0" r="0" t="0"/>
                        <wp:docPr descr="" title="" id="91" name="Picture"/>
                        <a:graphic>
                          <a:graphicData uri="http://schemas.openxmlformats.org/drawingml/2006/picture">
                            <pic:pic>
                              <pic:nvPicPr>
                                <pic:cNvPr descr="./results/plots/f0f1-vert-pull-contacts-time-1.png" id="92" name="Picture"/>
                                <pic:cNvPicPr>
                                  <a:picLocks noChangeArrowheads="1" noChangeAspect="1"/>
                                </pic:cNvPicPr>
                              </pic:nvPicPr>
                              <pic:blipFill>
                                <a:blip r:embed="rId90"/>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93"/>
              </w:tc>
            </w:tr>
          </w:tbl>
          <w:p/>
        </w:tc>
      </w:tr>
    </w:tbl>
    <w:p>
      <w:pPr>
        <w:pStyle w:val="BodyText"/>
      </w:pPr>
      <w:pPr>
        <w:spacing w:before="200"/>
        <w:pStyle w:val="ImageCaption"/>
      </w:pPr>
      <w:r>
        <w:t xml:space="preserve">Figure 5: Vertical Pulling of F0-F1.</w:t>
      </w:r>
      <w:r>
        <w:t xml:space="preserve"> </w:t>
      </w:r>
      <w:r>
        <w:rPr>
          <w:bCs/>
          <w:b/>
        </w:rPr>
        <w:t xml:space="preserve">a)</w:t>
      </w:r>
      <w:r>
        <w:t xml:space="preserve"> </w:t>
      </w:r>
      <w:r>
        <w:t xml:space="preserve">A representative render of one of 6 force-probe MD simulations pulling F0-F1 off the membrane (For the print version it is just a placeholder image. The video is available in the web-version (</w:t>
      </w:r>
      <w:hyperlink r:id="rId78">
        <w:r>
          <w:rPr>
            <w:rStyle w:val="Hyperlink"/>
          </w:rPr>
          <w:t xml:space="preserve">https://hits-mbm-dev.github.io/paper-talin-loop</w:t>
        </w:r>
      </w:hyperlink>
      <w:r>
        <w:t xml:space="preserve"> </w:t>
      </w:r>
      <w:r>
        <w:t xml:space="preserve">or here:</w:t>
      </w:r>
      <w:r>
        <w:t xml:space="preserve"> </w:t>
      </w:r>
      <w:hyperlink r:id="rId94">
        <w:r>
          <w:rPr>
            <w:rStyle w:val="Hyperlink"/>
          </w:rPr>
          <w:t xml:space="preserve">https://youtu.be/-eZ2orx7QRE</w:t>
        </w:r>
      </w:hyperlink>
      <w:r>
        <w:t xml:space="preserve">).</w:t>
      </w:r>
      <w:r>
        <w:t xml:space="preserve"> </w:t>
      </w:r>
      <w:r>
        <w:t xml:space="preserve">It starts from a snapshot of F0-F1 in its bound conformation taken from the rotational sampling (</w:t>
      </w:r>
      <w:hyperlink w:anchor="fig-loop-importance">
        <w:r>
          <w:rPr>
            <w:rStyle w:val="Hyperlink"/>
          </w:rPr>
          <w:t xml:space="preserve">Figure 3</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t xml:space="preserve">Replicate 4 is highlighted in magenta, as in this run the interactions were so so strong that a total of 3 molecules of PIP</w:t>
      </w:r>
      <w:r>
        <w:rPr>
          <w:vertAlign w:val="subscript"/>
        </w:rPr>
        <w:t xml:space="preserve">2</w:t>
      </w:r>
      <w:r>
        <w:t xml:space="preserve"> </w:t>
      </w:r>
      <w:r>
        <w:t xml:space="preserve">were pulled out of the membrane (1 by F0 and 2 by the F1 loop).</w:t>
      </w:r>
      <w:r>
        <w:t xml:space="preserve"> </w:t>
      </w:r>
      <w:r>
        <w:t xml:space="preserve">A snapshot of this can be seen in</w:t>
      </w:r>
      <w:r>
        <w:t xml:space="preserve"> </w:t>
      </w:r>
      <w:hyperlink w:anchor="fig-f0f1-vert-pull-run4">
        <w:r>
          <w:rPr>
            <w:rStyle w:val="Hyperlink"/>
          </w:rPr>
          <w:t xml:space="preserve">Figure 7 (e)</w:t>
        </w:r>
      </w:hyperlink>
      <w:r>
        <w:t xml:space="preserve">.</w:t>
      </w:r>
      <w:r>
        <w:t xml:space="preserve"> </w:t>
      </w:r>
      <w:r>
        <w:rPr>
          <w:bCs/>
          <w:b/>
        </w:rPr>
        <w:t xml:space="preserve">d)</w:t>
      </w:r>
      <w:r>
        <w:t xml:space="preserve"> </w:t>
      </w:r>
      <w:r>
        <w:t xml:space="preserve">The time evolution of the number of contacts for resides belonging to the F1 loop and other residues shows how initially other residues loose contact until eventually the loop looses contacts as well.</w:t>
      </w:r>
      <w:r>
        <w:t xml:space="preserve"> </w:t>
      </w:r>
      <w:r>
        <w:t xml:space="preserve">Lighter shades of blue correspond to a later time in the simulation.</w:t>
      </w:r>
      <w:r>
        <w:t xml:space="preserve"> </w:t>
      </w:r>
      <w:r>
        <w:t xml:space="preserve">Black dots mark the starting positions.</w:t>
      </w:r>
      <w:r>
        <w:t xml:space="preserve"> </w:t>
      </w:r>
      <w:r>
        <w:t xml:space="preserve">The longest remaining non-loop contacts belong to the N-terminus of F0 (for which</w:t>
      </w:r>
      <w:r>
        <w:t xml:space="preserve"> </w:t>
      </w:r>
      <w:r>
        <w:rPr>
          <w:bCs/>
          <w:b/>
        </w:rPr>
        <w:t xml:space="preserve">b</w:t>
      </w:r>
      <w:r>
        <w:t xml:space="preserve"> </w:t>
      </w:r>
      <w:r>
        <w:t xml:space="preserve">is also a representative snapshot), with the exception of replicate 4, as explained in</w:t>
      </w:r>
      <w:r>
        <w:t xml:space="preserve"> </w:t>
      </w:r>
      <w:r>
        <w:rPr>
          <w:bCs/>
          <w:b/>
        </w:rPr>
        <w:t xml:space="preserve">c</w:t>
      </w:r>
      <w:r>
        <w:t xml:space="preserv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w:t>
      </w:r>
      <w:hyperlink w:anchor="fig-ferm-ri-npip">
        <w:r>
          <w:rPr>
            <w:rStyle w:val="Hyperlink"/>
          </w:rPr>
          <w:t xml:space="preserve">Figure 6 (a)</w:t>
        </w:r>
      </w:hyperlink>
      <w:r>
        <w:t xml:space="preserve">, </w:t>
      </w:r>
      <w:hyperlink w:anchor="fig-ferm-memb-system">
        <w:r>
          <w:rPr>
            <w:rStyle w:val="Hyperlink"/>
          </w:rPr>
          <w:t xml:space="preserve">Figure 6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98" w:name="fig-ferm-ri-npip"/>
                <w:p>
                  <w:pPr>
                    <w:pStyle w:val="Figure"/>
                    <w:jc w:val="center"/>
                    <w:jc w:val="center"/>
                  </w:pPr>
                  <w:r>
                    <w:drawing>
                      <wp:inline>
                        <wp:extent cx="5334000" cy="3810000"/>
                        <wp:effectExtent b="0" l="0" r="0" t="0"/>
                        <wp:docPr descr="" title="" id="96" name="Picture"/>
                        <a:graphic>
                          <a:graphicData uri="http://schemas.openxmlformats.org/drawingml/2006/picture">
                            <pic:pic>
                              <pic:nvPicPr>
                                <pic:cNvPr descr="./results/plots/ferm-ri-npip-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9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02" w:name="fig-ferm-memb-system"/>
                <w:p>
                  <w:pPr>
                    <w:pStyle w:val="Figure"/>
                    <w:jc w:val="center"/>
                    <w:jc w:val="center"/>
                  </w:pPr>
                  <w:r>
                    <w:drawing>
                      <wp:inline>
                        <wp:extent cx="5334000" cy="2820236"/>
                        <wp:effectExtent b="0" l="0" r="0" t="0"/>
                        <wp:docPr descr="" title="" id="100" name="Picture"/>
                        <a:graphic>
                          <a:graphicData uri="http://schemas.openxmlformats.org/drawingml/2006/picture">
                            <pic:pic>
                              <pic:nvPicPr>
                                <pic:cNvPr descr="./assets/vmd/ferm/ferm-residues-transparent-arrows.png" id="101" name="Picture"/>
                                <pic:cNvPicPr>
                                  <a:picLocks noChangeArrowheads="1" noChangeAspect="1"/>
                                </pic:cNvPicPr>
                              </pic:nvPicPr>
                              <pic:blipFill>
                                <a:blip r:embed="rId99"/>
                                <a:stretch>
                                  <a:fillRect/>
                                </a:stretch>
                              </pic:blipFill>
                              <pic:spPr bwMode="auto">
                                <a:xfrm>
                                  <a:off x="0" y="0"/>
                                  <a:ext cx="5334000" cy="282023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102"/>
              </w:tc>
            </w:tr>
          </w:tbl>
          <w:p/>
        </w:tc>
      </w:tr>
    </w:tbl>
    <w:p>
      <w:pPr>
        <w:pStyle w:val="BodyText"/>
      </w:pPr>
      <w:pPr>
        <w:spacing w:before="200"/>
        <w:pStyle w:val="ImageCaption"/>
      </w:pPr>
      <w:r>
        <w:t xml:space="preserve">Figure 6: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3"/>
    <w:bookmarkEnd w:id="104"/>
    <w:bookmarkStart w:id="105"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new mode of interaction that helps to explain how Talin can find the membrane even when its main PIP</w:t>
      </w:r>
      <w:r>
        <w:rPr>
          <w:vertAlign w:val="subscript"/>
        </w:rPr>
        <w:t xml:space="preserve">2</w:t>
      </w:r>
      <w:r>
        <w:t xml:space="preserve"> </w:t>
      </w:r>
      <w:r>
        <w:t xml:space="preserve">(and integrin) binding sites in F2 and F3</w:t>
      </w:r>
      <w:r>
        <w:t xml:space="preserve"> </w:t>
      </w:r>
      <w:r>
        <w:t xml:space="preserve">(20)</w:t>
      </w:r>
      <w:r>
        <w:t xml:space="preserve"> </w:t>
      </w:r>
      <w:r>
        <w:t xml:space="preserve">(see figure</w:t>
      </w:r>
      <w:r>
        <w:t xml:space="preserve"> </w:t>
      </w:r>
      <w:hyperlink w:anchor="fig-ferm-memb-system">
        <w:r>
          <w:rPr>
            <w:rStyle w:val="Hyperlink"/>
          </w:rPr>
          <w:t xml:space="preserve">Figure 6 (b)</w:t>
        </w:r>
      </w:hyperlink>
      <w:r>
        <w:t xml:space="preserve"> </w:t>
      </w:r>
      <w:r>
        <w:t xml:space="preserve">) are blocked by autoinhibition</w:t>
      </w:r>
      <w:r>
        <w:t xml:space="preserve"> </w:t>
      </w:r>
      <w:r>
        <w:t xml:space="preserve">(23)</w:t>
      </w:r>
      <w:r>
        <w:t xml:space="preserve">.</w:t>
      </w:r>
      <w:r>
        <w:t xml:space="preserve"> </w:t>
      </w:r>
      <w:r>
        <w:t xml:space="preserve">This interaction mode is not characterized by strong binding sites interacting with one molecule of PIP</w:t>
      </w:r>
      <w:r>
        <w:rPr>
          <w:vertAlign w:val="subscript"/>
        </w:rPr>
        <w:t xml:space="preserve">2</w:t>
      </w:r>
      <w:r>
        <w:t xml:space="preserve"> </w:t>
      </w:r>
      <w:r>
        <w:t xml:space="preserve">each, as would be the conclusion from crystallographic data alone.</w:t>
      </w:r>
      <w:r>
        <w:t xml:space="preserve"> </w:t>
      </w:r>
      <w:r>
        <w:t xml:space="preserve">Rather the cumulative diffuse interaction of multiple PIP</w:t>
      </w:r>
      <w:r>
        <w:rPr>
          <w:vertAlign w:val="subscript"/>
        </w:rPr>
        <w:t xml:space="preserve">2</w:t>
      </w:r>
      <w:r>
        <w:t xml:space="preserve"> </w:t>
      </w:r>
      <w:r>
        <w:t xml:space="preserve">with multiple residues is what keeps the protein anchored to the membrane.</w:t>
      </w:r>
      <w:r>
        <w:t xml:space="preserve"> </w:t>
      </w:r>
      <w:r>
        <w:t xml:space="preserve">This is particularly evident in the interaction with the flexible F1 loop, but also in the F0 domain.</w:t>
      </w:r>
      <w:r>
        <w:t xml:space="preserve"> </w:t>
      </w:r>
      <w:r>
        <w:t xml:space="preserve">While crystal structures of proteins in complex with PIP</w:t>
      </w:r>
      <w:r>
        <w:rPr>
          <w:vertAlign w:val="subscript"/>
        </w:rPr>
        <w:t xml:space="preserve">2</w:t>
      </w:r>
      <w:r>
        <w:t xml:space="preserve"> </w:t>
      </w:r>
      <w:r>
        <w:t xml:space="preserve">typically show a one-to-one ratio of lipid per binding site</w:t>
      </w:r>
      <w:r>
        <w:t xml:space="preserve"> </w:t>
      </w:r>
      <w:r>
        <w:t xml:space="preserve">(20, 47, 48)</w:t>
      </w:r>
      <w:r>
        <w:t xml:space="preserve">, possibly due to the nature of the experimental method, our simulations suggest multiple PIP</w:t>
      </w:r>
      <w:r>
        <w:rPr>
          <w:vertAlign w:val="subscript"/>
        </w:rPr>
        <w:t xml:space="preserve">2</w:t>
      </w:r>
      <w:r>
        <w:t xml:space="preserve"> </w:t>
      </w:r>
      <w:r>
        <w:t xml:space="preserve">molecules binding simultaneously.</w:t>
      </w:r>
      <w:r>
        <w:t xml:space="preserve"> </w:t>
      </w:r>
      <w:r>
        <w:t xml:space="preserve">Similar results have been observed for Pleckstrin Homology (PH) domain proteins by Naughton et al.</w:t>
      </w:r>
      <w:r>
        <w:t xml:space="preserve"> </w:t>
      </w:r>
      <w:r>
        <w:t xml:space="preserve">(49)</w:t>
      </w:r>
      <w:r>
        <w:t xml:space="preserve">.</w:t>
      </w:r>
      <w:r>
        <w:t xml:space="preserve"> </w:t>
      </w:r>
      <w:r>
        <w:t xml:space="preserve">According to their study, this simultaneous binding of multiple PIP</w:t>
      </w:r>
      <w:r>
        <w:rPr>
          <w:vertAlign w:val="subscript"/>
        </w:rPr>
        <w:t xml:space="preserve">2</w:t>
      </w:r>
      <w:r>
        <w:t xml:space="preserve"> </w:t>
      </w:r>
      <w:r>
        <w:t xml:space="preserve">molecules contributes to the high affinity of the membrane interaction.</w:t>
      </w:r>
    </w:p>
    <w:p>
      <w:pPr>
        <w:pStyle w:val="BodyText"/>
      </w:pPr>
      <w:r>
        <w:t xml:space="preserve">Our molecular dynamics simulations suggest that the F1 loop can find favorable interactions with PIP</w:t>
      </w:r>
      <w:r>
        <w:rPr>
          <w:vertAlign w:val="subscript"/>
        </w:rPr>
        <w:t xml:space="preserve">2</w:t>
      </w:r>
      <w:r>
        <w:t xml:space="preserve"> </w:t>
      </w:r>
      <w:r>
        <w:t xml:space="preserve">across large distances in a large search volume due to its flexibility.</w:t>
      </w:r>
      <w:r>
        <w:t xml:space="preserve"> </w:t>
      </w:r>
      <w:r>
        <w:t xml:space="preserve">A similar mechanism has also been shown by Shoemakter et al.</w:t>
      </w:r>
      <w:r>
        <w:t xml:space="preserve"> </w:t>
      </w:r>
      <w:r>
        <w:t xml:space="preserve">(50)</w:t>
      </w:r>
      <w:r>
        <w:t xml:space="preserve"> </w:t>
      </w:r>
      <w:r>
        <w:t xml:space="preserve">and was fittingly coined</w:t>
      </w:r>
      <w:r>
        <w:t xml:space="preserve"> </w:t>
      </w:r>
      <w:r>
        <w:t xml:space="preserve">“</w:t>
      </w:r>
      <w:r>
        <w:t xml:space="preserve">fly-casting</w:t>
      </w:r>
      <w:r>
        <w:t xml:space="preserve">”</w:t>
      </w:r>
      <w:r>
        <w:t xml:space="preserve">.</w:t>
      </w:r>
      <w:r>
        <w:t xml:space="preserve"> </w:t>
      </w:r>
      <w:r>
        <w:t xml:space="preserve">In the aforementioned publication they focus on the interaction of unfolded regions with DNA.</w:t>
      </w:r>
      <w:r>
        <w:t xml:space="preserve"> </w:t>
      </w:r>
      <w:r>
        <w:t xml:space="preserve">Our simulations now provide an example for the concept applied to protein-lipid interactions.</w:t>
      </w:r>
      <w:r>
        <w:t xml:space="preserve"> </w:t>
      </w:r>
      <w:r>
        <w:t xml:space="preserve">It its well worth noting that, although we mention the greater search space of the F1 loop as its advantage in recognizing PIP</w:t>
      </w:r>
      <w:r>
        <w:rPr>
          <w:vertAlign w:val="subscript"/>
        </w:rPr>
        <w:t xml:space="preserve">2</w:t>
      </w:r>
      <w:r>
        <w:t xml:space="preserve">, it has also been argued that the kinetic advantage of the fly-casting mechanism comes mainly from the reduction in free energy as the disordered region folds around the interaction target</w:t>
      </w:r>
      <w:r>
        <w:t xml:space="preserve"> </w:t>
      </w:r>
      <w:r>
        <w:t xml:space="preserve">(51)</w:t>
      </w:r>
      <w:r>
        <w:t xml:space="preserve">.</w:t>
      </w:r>
      <w:r>
        <w:t xml:space="preserve"> </w:t>
      </w:r>
      <w:r>
        <w:t xml:space="preserve">The fast binding kinetics are crucial for Talin’s function at focal adhesion sites.</w:t>
      </w:r>
      <w:r>
        <w:t xml:space="preserve"> </w:t>
      </w:r>
      <w:r>
        <w:t xml:space="preserve">As the PIP</w:t>
      </w:r>
      <w:r>
        <w:rPr>
          <w:vertAlign w:val="subscript"/>
        </w:rPr>
        <w:t xml:space="preserve">2</w:t>
      </w:r>
      <w:r>
        <w:t xml:space="preserve"> </w:t>
      </w:r>
      <w:r>
        <w:t xml:space="preserve">concentrations increases at the active focal adhesion site, Talin’s FERM F1 loop can perform a quick recognition.</w:t>
      </w:r>
      <w:r>
        <w:t xml:space="preserve"> </w:t>
      </w:r>
      <w:r>
        <w:t xml:space="preserve">The flexibility of the loop also allows it to anchor the protein at the membrane even when being stretched under force (up to a delta of 7 nm, as seen in</w:t>
      </w:r>
      <w:r>
        <w:t xml:space="preserve"> </w:t>
      </w:r>
      <w:hyperlink w:anchor="fig-f0f1-vert-pull">
        <w:r>
          <w:rPr>
            <w:rStyle w:val="Hyperlink"/>
          </w:rPr>
          <w:t xml:space="preserve">Figure 5 (c)</w:t>
        </w:r>
      </w:hyperlink>
      <w:r>
        <w:t xml:space="preserve">).</w:t>
      </w:r>
      <w:r>
        <w:t xml:space="preserve"> </w:t>
      </w:r>
      <w:r>
        <w:t xml:space="preserve">This is akin to the elastic response seen in focal adhesion kinase (FAK) under force, in which a 49 AA linker allows for buffering of the force</w:t>
      </w:r>
      <w:r>
        <w:t xml:space="preserve"> </w:t>
      </w:r>
      <w:r>
        <w:t xml:space="preserve">(52)</w:t>
      </w:r>
      <w:r>
        <w:t xml:space="preserve">.</w:t>
      </w:r>
      <w:r>
        <w:t xml:space="preserve"> </w:t>
      </w:r>
      <w:r>
        <w:t xml:space="preserve">In our force probe experiments we pulled F0F1 orthogonally off of the membrane.</w:t>
      </w:r>
      <w:r>
        <w:t xml:space="preserve"> </w:t>
      </w:r>
      <w:r>
        <w:t xml:space="preserve">This was useful in showing the full extension and force resistance of the loop.</w:t>
      </w:r>
      <w:r>
        <w:t xml:space="preserve"> </w:t>
      </w:r>
      <w:r>
        <w:rPr>
          <w:iCs/>
          <w:i/>
        </w:rPr>
        <w:t xml:space="preserve">In vivo</w:t>
      </w:r>
      <w:r>
        <w:t xml:space="preserve">, however, Talin’s FERM domain is subjected to forces acting at a 30° angle.</w:t>
      </w:r>
      <w:r>
        <w:t xml:space="preserve"> </w:t>
      </w:r>
      <w:r>
        <w:t xml:space="preserve">This might imply an additional function for the FERM domain.</w:t>
      </w:r>
      <w:r>
        <w:t xml:space="preserve"> </w:t>
      </w:r>
      <w:r>
        <w:t xml:space="preserve">As it is dragged along the membrane, the diffuse interactions of the F1 loop and main interaction sites in F2-F3 with PIP</w:t>
      </w:r>
      <w:r>
        <w:rPr>
          <w:vertAlign w:val="subscript"/>
        </w:rPr>
        <w:t xml:space="preserve">2</w:t>
      </w:r>
      <w:r>
        <w:t xml:space="preserve"> </w:t>
      </w:r>
      <w:r>
        <w:t xml:space="preserve">would increase lateral friction along the membrane as the PIP</w:t>
      </w:r>
      <w:r>
        <w:rPr>
          <w:vertAlign w:val="subscript"/>
        </w:rPr>
        <w:t xml:space="preserve">2</w:t>
      </w:r>
      <w:r>
        <w:t xml:space="preserve"> </w:t>
      </w:r>
      <w:r>
        <w:t xml:space="preserve">concentration increases.</w:t>
      </w:r>
      <w:r>
        <w:t xml:space="preserve"> </w:t>
      </w:r>
      <w:r>
        <w:t xml:space="preserve">This could further localize Talin at active focal adhesion sites.</w:t>
      </w:r>
    </w:p>
    <w:p>
      <w:pPr>
        <w:pStyle w:val="BodyText"/>
      </w:pPr>
      <w:r>
        <w:t xml:space="preserve">We conclusively show that the F1 loop is able to interact with the membrane even from most unfavorable positions.</w:t>
      </w:r>
      <w:r>
        <w:t xml:space="preserve"> </w:t>
      </w:r>
      <w:r>
        <w:t xml:space="preserve">We propose that talin mutants lacking the loop, or specifically the basic residues in said loop, will show reduced or at least slowed-down focal adhesion maturation, increased lateral diffusion of talin under force and faster focal adhesion disassembly.</w:t>
      </w:r>
    </w:p>
    <w:p>
      <w:pPr>
        <w:pStyle w:val="BodyText"/>
      </w:pPr>
      <w:r>
        <w:t xml:space="preserve">But recognition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(12)</w:t>
      </w:r>
      <w:r>
        <w:t xml:space="preserve"> </w:t>
      </w:r>
      <w:r>
        <w:t xml:space="preserve">or result in novel ideas.</w:t>
      </w:r>
      <w:r>
        <w:t xml:space="preserve"> </w:t>
      </w:r>
      <w:r>
        <w:t xml:space="preserve">More generally, we propose positively charged, intrincsically disordered regions in PIP</w:t>
      </w:r>
      <w:r>
        <w:rPr>
          <w:vertAlign w:val="subscript"/>
        </w:rPr>
        <w:t xml:space="preserve">2</w:t>
      </w:r>
      <w:r>
        <w:t xml:space="preserve">-binding domains to promote recognition and help to maintain the interaction under force, in FERM domains and elsewhere.</w:t>
      </w:r>
    </w:p>
    <w:bookmarkEnd w:id="105"/>
    <w:bookmarkStart w:id="106"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06"/>
    <w:bookmarkStart w:id="107"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p>
      <w:pPr>
        <w:pStyle w:val="BodyText"/>
      </w:pPr>
      <w:r>
        <w:t xml:space="preserve">This work was supported by the Klaus Tschira Foundation.</w:t>
      </w:r>
    </w:p>
    <w:bookmarkEnd w:id="107"/>
    <w:bookmarkStart w:id="207" w:name="references"/>
    <w:p>
      <w:pPr>
        <w:pStyle w:val="Heading1"/>
      </w:pPr>
      <w:r>
        <w:t xml:space="preserve">References</w:t>
      </w:r>
    </w:p>
    <w:bookmarkStart w:id="206" w:name="refs"/>
    <w:bookmarkStart w:id="109" w:name="ref-vogelLocalForceGeometry2006"/>
    <w:p>
      <w:pPr>
        <w:pStyle w:val="Bibliography"/>
      </w:pPr>
      <w:r>
        <w:t xml:space="preserve">1.</w:t>
      </w:r>
      <w:r>
        <w:t xml:space="preserve"> </w:t>
      </w:r>
      <w:r>
        <w:t xml:space="preserve">	</w:t>
      </w:r>
      <w:r>
        <w:t xml:space="preserve">Vogel, V., and M. Sheetz. 2006.</w:t>
      </w:r>
      <w:r>
        <w:t xml:space="preserve"> </w:t>
      </w:r>
      <w:hyperlink r:id="rId108">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09"/>
    <w:bookmarkStart w:id="111" w:name="ref-oakesStressingLimitsFocal2014"/>
    <w:p>
      <w:pPr>
        <w:pStyle w:val="Bibliography"/>
      </w:pPr>
      <w:r>
        <w:t xml:space="preserve">2.</w:t>
      </w:r>
      <w:r>
        <w:t xml:space="preserve"> </w:t>
      </w:r>
      <w:r>
        <w:t xml:space="preserve">	</w:t>
      </w:r>
      <w:r>
        <w:t xml:space="preserve">Oakes, P.W., and M.L. Gardel. 2014.</w:t>
      </w:r>
      <w:r>
        <w:t xml:space="preserve"> </w:t>
      </w:r>
      <w:hyperlink r:id="rId110">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11"/>
    <w:bookmarkStart w:id="113" w:name="X1f53f49d7729ed79ded6964e36883c27fd4e415"/>
    <w:p>
      <w:pPr>
        <w:pStyle w:val="Bibliography"/>
      </w:pPr>
      <w:r>
        <w:t xml:space="preserve">3.</w:t>
      </w:r>
      <w:r>
        <w:t xml:space="preserve"> </w:t>
      </w:r>
      <w:r>
        <w:t xml:space="preserve">	</w:t>
      </w:r>
      <w:r>
        <w:t xml:space="preserve">Schiller, H.B., and R. Fässler. 2013.</w:t>
      </w:r>
      <w:r>
        <w:t xml:space="preserve"> </w:t>
      </w:r>
      <w:hyperlink r:id="rId112">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13"/>
    <w:bookmarkStart w:id="115"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14">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15"/>
    <w:bookmarkStart w:id="117"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16">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17"/>
    <w:bookmarkStart w:id="119"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18">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19"/>
    <w:bookmarkStart w:id="121"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20">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21"/>
    <w:bookmarkStart w:id="123"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22">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23"/>
    <w:bookmarkStart w:id="125"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24">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25"/>
    <w:bookmarkStart w:id="127"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26">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27"/>
    <w:bookmarkStart w:id="129"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28">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29"/>
    <w:bookmarkStart w:id="131"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30">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31"/>
    <w:bookmarkStart w:id="133"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32">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33"/>
    <w:bookmarkStart w:id="135"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34">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35"/>
    <w:bookmarkStart w:id="137"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36">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37"/>
    <w:bookmarkStart w:id="139"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38">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39"/>
    <w:bookmarkStart w:id="141"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40">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41"/>
    <w:bookmarkStart w:id="143" w:name="ref-mccannLWEQModuleConserved1997"/>
    <w:p>
      <w:pPr>
        <w:pStyle w:val="Bibliography"/>
      </w:pPr>
      <w:r>
        <w:t xml:space="preserve">18.</w:t>
      </w:r>
      <w:r>
        <w:t xml:space="preserve"> </w:t>
      </w:r>
      <w:r>
        <w:t xml:space="preserve">	</w:t>
      </w:r>
      <w:r>
        <w:t xml:space="preserve">McCann, R.O., and S.W. Craig. 1997.</w:t>
      </w:r>
      <w:r>
        <w:t xml:space="preserve"> </w:t>
      </w:r>
      <w:hyperlink r:id="rId142">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43"/>
    <w:bookmarkStart w:id="145" w:name="ref-klapholzTalinMasterIntegrin2017"/>
    <w:p>
      <w:pPr>
        <w:pStyle w:val="Bibliography"/>
      </w:pPr>
      <w:r>
        <w:t xml:space="preserve">19.</w:t>
      </w:r>
      <w:r>
        <w:t xml:space="preserve"> </w:t>
      </w:r>
      <w:r>
        <w:t xml:space="preserve">	</w:t>
      </w:r>
      <w:r>
        <w:t xml:space="preserve">Klapholz, B., and N.H. Brown. 2017.</w:t>
      </w:r>
      <w:r>
        <w:t xml:space="preserve"> </w:t>
      </w:r>
      <w:hyperlink r:id="rId144">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45"/>
    <w:bookmarkStart w:id="147"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46">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47"/>
    <w:bookmarkStart w:id="149"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48">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49"/>
    <w:bookmarkStart w:id="151"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50">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51"/>
    <w:bookmarkStart w:id="153"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52">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53"/>
    <w:bookmarkStart w:id="155"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54">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55"/>
    <w:bookmarkStart w:id="157"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56">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57"/>
    <w:bookmarkStart w:id="159"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58">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59"/>
    <w:bookmarkStart w:id="161"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60">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61"/>
    <w:bookmarkStart w:id="163"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62">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63"/>
    <w:bookmarkStart w:id="165"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64">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65"/>
    <w:bookmarkStart w:id="167" w:name="ref-webbComparativeProteinStructure2016"/>
    <w:p>
      <w:pPr>
        <w:pStyle w:val="Bibliography"/>
      </w:pPr>
      <w:r>
        <w:t xml:space="preserve">30.</w:t>
      </w:r>
      <w:r>
        <w:t xml:space="preserve"> </w:t>
      </w:r>
      <w:r>
        <w:t xml:space="preserve">	</w:t>
      </w:r>
      <w:r>
        <w:t xml:space="preserve">Webb, B., and A. Sali. 2016.</w:t>
      </w:r>
      <w:r>
        <w:t xml:space="preserve"> </w:t>
      </w:r>
      <w:hyperlink r:id="rId166">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67"/>
    <w:bookmarkStart w:id="169"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168">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69"/>
    <w:bookmarkStart w:id="171"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70">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171"/>
    <w:bookmarkStart w:id="173" w:name="ref-joCHARMMGUIWebbasedGraphical2008"/>
    <w:p>
      <w:pPr>
        <w:pStyle w:val="Bibliography"/>
      </w:pPr>
      <w:r>
        <w:t xml:space="preserve">33.</w:t>
      </w:r>
      <w:r>
        <w:t xml:space="preserve"> </w:t>
      </w:r>
      <w:r>
        <w:t xml:space="preserve">	</w:t>
      </w:r>
      <w:r>
        <w:t xml:space="preserve">Jo, S., T. Kim, V.G. Iyer, and W. Im. 2008.</w:t>
      </w:r>
      <w:r>
        <w:t xml:space="preserve"> </w:t>
      </w:r>
      <w:hyperlink r:id="rId172">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173"/>
    <w:bookmarkStart w:id="175"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174">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175"/>
    <w:bookmarkStart w:id="177" w:name="X1057da5d77f0bf0fb2d07549e9b32767a4b477a"/>
    <w:p>
      <w:pPr>
        <w:pStyle w:val="Bibliography"/>
      </w:pPr>
      <w:r>
        <w:t xml:space="preserve">35.</w:t>
      </w:r>
      <w:r>
        <w:t xml:space="preserve"> </w:t>
      </w:r>
      <w:r>
        <w:t xml:space="preserve">	</w:t>
      </w:r>
      <w:r>
        <w:t xml:space="preserve">Hoover, W.G. 1985.</w:t>
      </w:r>
      <w:r>
        <w:t xml:space="preserve"> </w:t>
      </w:r>
      <w:hyperlink r:id="rId176">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177"/>
    <w:bookmarkStart w:id="179" w:name="ref-noseUnifiedFormulationConstant1984"/>
    <w:p>
      <w:pPr>
        <w:pStyle w:val="Bibliography"/>
      </w:pPr>
      <w:r>
        <w:t xml:space="preserve">36.</w:t>
      </w:r>
      <w:r>
        <w:t xml:space="preserve"> </w:t>
      </w:r>
      <w:r>
        <w:t xml:space="preserve">	</w:t>
      </w:r>
      <w:r>
        <w:t xml:space="preserve">Nosé, S. 1984.</w:t>
      </w:r>
      <w:r>
        <w:t xml:space="preserve"> </w:t>
      </w:r>
      <w:hyperlink r:id="rId178">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179"/>
    <w:bookmarkStart w:id="181" w:name="X7e7666b4982a28a7379c697b2057d381c2e1bb2"/>
    <w:p>
      <w:pPr>
        <w:pStyle w:val="Bibliography"/>
      </w:pPr>
      <w:r>
        <w:t xml:space="preserve">37.</w:t>
      </w:r>
      <w:r>
        <w:t xml:space="preserve"> </w:t>
      </w:r>
      <w:r>
        <w:t xml:space="preserve">	</w:t>
      </w:r>
      <w:r>
        <w:t xml:space="preserve">Parrinello, M., and A. Rahman. 1981.</w:t>
      </w:r>
      <w:r>
        <w:t xml:space="preserve"> </w:t>
      </w:r>
      <w:hyperlink r:id="rId180">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181"/>
    <w:bookmarkStart w:id="183" w:name="ref-mercadanteCONANToolDecode2018"/>
    <w:p>
      <w:pPr>
        <w:pStyle w:val="Bibliography"/>
      </w:pPr>
      <w:r>
        <w:t xml:space="preserve">38.</w:t>
      </w:r>
      <w:r>
        <w:t xml:space="preserve"> </w:t>
      </w:r>
      <w:r>
        <w:t xml:space="preserve">	</w:t>
      </w:r>
      <w:r>
        <w:t xml:space="preserve">Mercadante, D., F. Gräter, and C. Daday. 2018.</w:t>
      </w:r>
      <w:r>
        <w:t xml:space="preserve"> </w:t>
      </w:r>
      <w:hyperlink r:id="rId182">
        <w:r>
          <w:rPr>
            <w:rStyle w:val="Hyperlink"/>
          </w:rPr>
          <w:t xml:space="preserve">CONAN</w:t>
        </w:r>
        <w:r>
          <w:rPr>
            <w:rStyle w:val="Hyperlink"/>
          </w:rPr>
          <w:t xml:space="preserve">:</w:t>
        </w:r>
        <w:r>
          <w:rPr>
            <w:rStyle w:val="Hyperlink"/>
          </w:rPr>
          <w:t xml:space="preserve"> </w:t>
        </w:r>
        <w:r>
          <w:rPr>
            <w:rStyle w:val="Hyperlink"/>
          </w:rPr>
          <w:t xml:space="preserve">A Tool</w:t>
        </w:r>
        <w:r>
          <w:rPr>
            <w:rStyle w:val="Hyperlink"/>
          </w:rPr>
          <w:t xml:space="preserve"> </w:t>
        </w:r>
        <w:r>
          <w:rPr>
            <w:rStyle w:val="Hyperlink"/>
          </w:rPr>
          <w:t xml:space="preserve">to</w:t>
        </w:r>
        <w:r>
          <w:rPr>
            <w:rStyle w:val="Hyperlink"/>
          </w:rPr>
          <w:t xml:space="preserve"> </w:t>
        </w:r>
        <w:r>
          <w:rPr>
            <w:rStyle w:val="Hyperlink"/>
          </w:rPr>
          <w:t xml:space="preserve">Decode Dynamical Information</w:t>
        </w:r>
        <w:r>
          <w:rPr>
            <w:rStyle w:val="Hyperlink"/>
          </w:rPr>
          <w:t xml:space="preserve"> </w:t>
        </w:r>
        <w:r>
          <w:rPr>
            <w:rStyle w:val="Hyperlink"/>
          </w:rPr>
          <w:t xml:space="preserve">from</w:t>
        </w:r>
        <w:r>
          <w:rPr>
            <w:rStyle w:val="Hyperlink"/>
          </w:rPr>
          <w:t xml:space="preserve"> </w:t>
        </w:r>
        <w:r>
          <w:rPr>
            <w:rStyle w:val="Hyperlink"/>
          </w:rPr>
          <w:t xml:space="preserve">Molecular Interaction Maps</w:t>
        </w:r>
      </w:hyperlink>
      <w:r>
        <w:t xml:space="preserve">.</w:t>
      </w:r>
      <w:r>
        <w:t xml:space="preserve"> </w:t>
      </w:r>
      <w:r>
        <w:rPr>
          <w:iCs/>
          <w:i/>
        </w:rPr>
        <w:t xml:space="preserve">Biophysical Journal</w:t>
      </w:r>
      <w:r>
        <w:t xml:space="preserve">. 114:1267–1273.</w:t>
      </w:r>
    </w:p>
    <w:bookmarkEnd w:id="183"/>
    <w:bookmarkStart w:id="184" w:name="ref-landauTargetsPackageDynamic2021"/>
    <w:p>
      <w:pPr>
        <w:pStyle w:val="Bibliography"/>
      </w:pPr>
      <w:r>
        <w:t xml:space="preserve">39.</w:t>
      </w:r>
      <w:r>
        <w:t xml:space="preserve"> </w:t>
      </w:r>
      <w:r>
        <w:t xml:space="preserve">	</w:t>
      </w:r>
      <w:r>
        <w:t xml:space="preserve">Landau, W.M. 2021. The targets</w:t>
      </w:r>
      <w:r>
        <w:t xml:space="preserve"> </w:t>
      </w:r>
      <w:r>
        <w:t xml:space="preserve">R</w:t>
      </w:r>
      <w:r>
        <w:t xml:space="preserve"> </w:t>
      </w:r>
      <w:r>
        <w:t xml:space="preserve">package: A dynamic</w:t>
      </w:r>
      <w:r>
        <w:t xml:space="preserve"> </w:t>
      </w:r>
      <w:r>
        <w:t xml:space="preserve">Make-like</w:t>
      </w:r>
      <w:r>
        <w:t xml:space="preserve"> </w:t>
      </w:r>
      <w:r>
        <w:t xml:space="preserve">function-oriented pipeline toolkit for reproducibility and high-performance computing.</w:t>
      </w:r>
      <w:r>
        <w:t xml:space="preserve"> </w:t>
      </w:r>
      <w:r>
        <w:rPr>
          <w:iCs/>
          <w:i/>
        </w:rPr>
        <w:t xml:space="preserve">Journal of Open Source Software</w:t>
      </w:r>
      <w:r>
        <w:t xml:space="preserve">. 6:2959.</w:t>
      </w:r>
    </w:p>
    <w:bookmarkEnd w:id="184"/>
    <w:bookmarkStart w:id="185" w:name="ref-ggplot"/>
    <w:p>
      <w:pPr>
        <w:pStyle w:val="Bibliography"/>
      </w:pPr>
      <w:r>
        <w:t xml:space="preserve">40.</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185"/>
    <w:bookmarkStart w:id="187" w:name="ref-molstar"/>
    <w:p>
      <w:pPr>
        <w:pStyle w:val="Bibliography"/>
      </w:pPr>
      <w:r>
        <w:t xml:space="preserve">41.</w:t>
      </w:r>
      <w:r>
        <w:t xml:space="preserve"> </w:t>
      </w:r>
      <w:r>
        <w:t xml:space="preserve">	</w:t>
      </w:r>
      <w:r>
        <w:t xml:space="preserve">Sehnal, D., S. Bittrich, M. Deshpande, R. Svobodová, K. Berka, V. Bazgier, S. Velankar, S.K. Burley, J. Koča, and A.S. Rose. 2021.</w:t>
      </w:r>
      <w:r>
        <w:t xml:space="preserve"> </w:t>
      </w:r>
      <w:hyperlink r:id="rId186">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187"/>
    <w:bookmarkStart w:id="188" w:name="ref-blender"/>
    <w:p>
      <w:pPr>
        <w:pStyle w:val="Bibliography"/>
      </w:pPr>
      <w:r>
        <w:t xml:space="preserve">42.</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188"/>
    <w:bookmarkStart w:id="189" w:name="ref-vmd"/>
    <w:p>
      <w:pPr>
        <w:pStyle w:val="Bibliography"/>
      </w:pPr>
      <w:r>
        <w:t xml:space="preserve">43.</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189"/>
    <w:bookmarkStart w:id="191" w:name="ref-quarto"/>
    <w:p>
      <w:pPr>
        <w:pStyle w:val="Bibliography"/>
      </w:pPr>
      <w:r>
        <w:t xml:space="preserve">44.</w:t>
      </w:r>
      <w:r>
        <w:t xml:space="preserve"> </w:t>
      </w:r>
      <w:r>
        <w:t xml:space="preserve">	</w:t>
      </w:r>
      <w:r>
        <w:t xml:space="preserve">Allaire, J.J., C. Teague, C. Scheidegger, Y. Xie, and C. Dervieux. 2022.</w:t>
      </w:r>
      <w:r>
        <w:t xml:space="preserve"> </w:t>
      </w:r>
      <w:hyperlink r:id="rId190">
        <w:r>
          <w:rPr>
            <w:rStyle w:val="Hyperlink"/>
          </w:rPr>
          <w:t xml:space="preserve">Quarto</w:t>
        </w:r>
      </w:hyperlink>
      <w:r>
        <w:t xml:space="preserve">.</w:t>
      </w:r>
    </w:p>
    <w:bookmarkEnd w:id="191"/>
    <w:bookmarkStart w:id="192" w:name="ref-knitr"/>
    <w:p>
      <w:pPr>
        <w:pStyle w:val="Bibliography"/>
      </w:pPr>
      <w:r>
        <w:t xml:space="preserve">45.</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192"/>
    <w:bookmarkStart w:id="193" w:name="ref-rbetterposter"/>
    <w:p>
      <w:pPr>
        <w:pStyle w:val="Bibliography"/>
      </w:pPr>
      <w:r>
        <w:t xml:space="preserve">46.</w:t>
      </w:r>
      <w:r>
        <w:t xml:space="preserve"> </w:t>
      </w:r>
      <w:r>
        <w:t xml:space="preserve">	</w:t>
      </w:r>
      <w:r>
        <w:t xml:space="preserve">Aden-Buie, G. 2022. Betterposter:</w:t>
      </w:r>
      <w:r>
        <w:t xml:space="preserve"> </w:t>
      </w:r>
      <w:r>
        <w:t xml:space="preserve">A</w:t>
      </w:r>
      <w:r>
        <w:t xml:space="preserve"> </w:t>
      </w:r>
      <w:r>
        <w:t xml:space="preserve">better scientific poster.</w:t>
      </w:r>
    </w:p>
    <w:bookmarkEnd w:id="193"/>
    <w:bookmarkStart w:id="195" w:name="X95234d4295995faf5949e8072f7e99448cece1e"/>
    <w:p>
      <w:pPr>
        <w:pStyle w:val="Bibliography"/>
      </w:pPr>
      <w:r>
        <w:t xml:space="preserve">47.</w:t>
      </w:r>
      <w:r>
        <w:t xml:space="preserve"> </w:t>
      </w:r>
      <w:r>
        <w:t xml:space="preserve">	</w:t>
      </w:r>
      <w:r>
        <w:t xml:space="preserve">Chinthalapudi, K., V. Mandati, J. Zheng, A.J. Sharff, G. Bricogne, P.R. Griffin, J. Kissil, and T. Izard. 2018.</w:t>
      </w:r>
      <w:r>
        <w:t xml:space="preserve"> </w:t>
      </w:r>
      <w:hyperlink r:id="rId194">
        <w:r>
          <w:rPr>
            <w:rStyle w:val="Hyperlink"/>
          </w:rPr>
          <w:t xml:space="preserve">Lipid binding promotes the open conformation and tumor-suppressive activity of neurofibromin 2</w:t>
        </w:r>
      </w:hyperlink>
      <w:r>
        <w:t xml:space="preserve">.</w:t>
      </w:r>
      <w:r>
        <w:t xml:space="preserve"> </w:t>
      </w:r>
      <w:r>
        <w:rPr>
          <w:iCs/>
          <w:i/>
        </w:rPr>
        <w:t xml:space="preserve">Nature Communications</w:t>
      </w:r>
      <w:r>
        <w:t xml:space="preserve">. 9:1338.</w:t>
      </w:r>
    </w:p>
    <w:bookmarkEnd w:id="195"/>
    <w:bookmarkStart w:id="197" w:name="ref-jianMolecularBasisCooperative2015"/>
    <w:p>
      <w:pPr>
        <w:pStyle w:val="Bibliography"/>
      </w:pPr>
      <w:r>
        <w:t xml:space="preserve">48.</w:t>
      </w:r>
      <w:r>
        <w:t xml:space="preserve"> </w:t>
      </w:r>
      <w:r>
        <w:t xml:space="preserve">	</w:t>
      </w:r>
      <w:r>
        <w:t xml:space="preserve">Jian, X., W.-K. Tang, P. Zhai, N.S. Roy, R. Luo, J.M. Gruschus, M.E. Yohe, P.-W. Chen, Y. Li, R.A. Byrd, D. Xia, and P.A. Randazzo. 2015.</w:t>
      </w:r>
      <w:r>
        <w:t xml:space="preserve"> </w:t>
      </w:r>
      <w:hyperlink r:id="rId196">
        <w:r>
          <w:rPr>
            <w:rStyle w:val="Hyperlink"/>
          </w:rPr>
          <w:t xml:space="preserve">Molecular</w:t>
        </w:r>
        <w:r>
          <w:rPr>
            <w:rStyle w:val="Hyperlink"/>
          </w:rPr>
          <w:t xml:space="preserve"> </w:t>
        </w:r>
        <w:r>
          <w:rPr>
            <w:rStyle w:val="Hyperlink"/>
          </w:rPr>
          <w:t xml:space="preserve">Basis</w:t>
        </w:r>
        <w:r>
          <w:rPr>
            <w:rStyle w:val="Hyperlink"/>
          </w:rPr>
          <w:t xml:space="preserve"> </w:t>
        </w:r>
        <w:r>
          <w:rPr>
            <w:rStyle w:val="Hyperlink"/>
          </w:rPr>
          <w:t xml:space="preserve">for</w:t>
        </w:r>
        <w:r>
          <w:rPr>
            <w:rStyle w:val="Hyperlink"/>
          </w:rPr>
          <w:t xml:space="preserve"> </w:t>
        </w:r>
        <w:r>
          <w:rPr>
            <w:rStyle w:val="Hyperlink"/>
          </w:rPr>
          <w:t xml:space="preserve">Cooperative Binding</w:t>
        </w:r>
        <w:r>
          <w:rPr>
            <w:rStyle w:val="Hyperlink"/>
          </w:rPr>
          <w:t xml:space="preserve"> </w:t>
        </w:r>
        <w:r>
          <w:rPr>
            <w:rStyle w:val="Hyperlink"/>
          </w:rPr>
          <w:t xml:space="preserve">of</w:t>
        </w:r>
        <w:r>
          <w:rPr>
            <w:rStyle w:val="Hyperlink"/>
          </w:rPr>
          <w:t xml:space="preserve"> </w:t>
        </w:r>
        <w:r>
          <w:rPr>
            <w:rStyle w:val="Hyperlink"/>
          </w:rPr>
          <w:t xml:space="preserve">Anionic Phospholipids</w:t>
        </w:r>
        <w:r>
          <w:rPr>
            <w:rStyle w:val="Hyperlink"/>
          </w:rPr>
          <w:t xml:space="preserve"> </w:t>
        </w:r>
        <w:r>
          <w:rPr>
            <w:rStyle w:val="Hyperlink"/>
          </w:rPr>
          <w:t xml:space="preserve">to the</w:t>
        </w:r>
        <w:r>
          <w:rPr>
            <w:rStyle w:val="Hyperlink"/>
          </w:rPr>
          <w:t xml:space="preserve"> </w:t>
        </w:r>
        <w:r>
          <w:rPr>
            <w:rStyle w:val="Hyperlink"/>
          </w:rPr>
          <w:t xml:space="preserve">PH Domain</w:t>
        </w:r>
        <w:r>
          <w:rPr>
            <w:rStyle w:val="Hyperlink"/>
          </w:rPr>
          <w:t xml:space="preserve"> </w:t>
        </w:r>
        <w:r>
          <w:rPr>
            <w:rStyle w:val="Hyperlink"/>
          </w:rPr>
          <w:t xml:space="preserve">of the</w:t>
        </w:r>
        <w:r>
          <w:rPr>
            <w:rStyle w:val="Hyperlink"/>
          </w:rPr>
          <w:t xml:space="preserve"> </w:t>
        </w:r>
        <w:r>
          <w:rPr>
            <w:rStyle w:val="Hyperlink"/>
          </w:rPr>
          <w:t xml:space="preserve">Arf GAP ASAP1</w:t>
        </w:r>
      </w:hyperlink>
      <w:r>
        <w:t xml:space="preserve">.</w:t>
      </w:r>
      <w:r>
        <w:t xml:space="preserve"> </w:t>
      </w:r>
      <w:r>
        <w:rPr>
          <w:iCs/>
          <w:i/>
        </w:rPr>
        <w:t xml:space="preserve">Structure</w:t>
      </w:r>
      <w:r>
        <w:t xml:space="preserve">. 23:1977–1988.</w:t>
      </w:r>
    </w:p>
    <w:bookmarkEnd w:id="197"/>
    <w:bookmarkStart w:id="199" w:name="X1c3899f0a364b48b54f84f89cb53494dc398a72"/>
    <w:p>
      <w:pPr>
        <w:pStyle w:val="Bibliography"/>
      </w:pPr>
      <w:r>
        <w:t xml:space="preserve">49.</w:t>
      </w:r>
      <w:r>
        <w:t xml:space="preserve"> </w:t>
      </w:r>
      <w:r>
        <w:t xml:space="preserve">	</w:t>
      </w:r>
      <w:r>
        <w:t xml:space="preserve">Naughton, F.B., A.C. Kalli, and M.S.P. Sansom. 2018.</w:t>
      </w:r>
      <w:r>
        <w:t xml:space="preserve"> </w:t>
      </w:r>
      <w:hyperlink r:id="rId198">
        <w:r>
          <w:rPr>
            <w:rStyle w:val="Hyperlink"/>
          </w:rPr>
          <w:t xml:space="preserve">Modes of</w:t>
        </w:r>
        <w:r>
          <w:rPr>
            <w:rStyle w:val="Hyperlink"/>
          </w:rPr>
          <w:t xml:space="preserve"> </w:t>
        </w:r>
        <w:r>
          <w:rPr>
            <w:rStyle w:val="Hyperlink"/>
          </w:rPr>
          <w:t xml:space="preserve">Interaction</w:t>
        </w:r>
        <w:r>
          <w:rPr>
            <w:rStyle w:val="Hyperlink"/>
          </w:rPr>
          <w:t xml:space="preserve"> </w:t>
        </w:r>
        <w:r>
          <w:rPr>
            <w:rStyle w:val="Hyperlink"/>
          </w:rPr>
          <w:t xml:space="preserve">of</w:t>
        </w:r>
        <w:r>
          <w:rPr>
            <w:rStyle w:val="Hyperlink"/>
          </w:rPr>
          <w:t xml:space="preserve"> </w:t>
        </w:r>
        <w:r>
          <w:rPr>
            <w:rStyle w:val="Hyperlink"/>
          </w:rPr>
          <w:t xml:space="preserve">Pleckstrin Homology Domains</w:t>
        </w:r>
        <w:r>
          <w:rPr>
            <w:rStyle w:val="Hyperlink"/>
          </w:rPr>
          <w:t xml:space="preserve"> </w:t>
        </w:r>
        <w:r>
          <w:rPr>
            <w:rStyle w:val="Hyperlink"/>
          </w:rPr>
          <w:t xml:space="preserve">with</w:t>
        </w:r>
        <w:r>
          <w:rPr>
            <w:rStyle w:val="Hyperlink"/>
          </w:rPr>
          <w:t xml:space="preserve"> </w:t>
        </w:r>
        <w:r>
          <w:rPr>
            <w:rStyle w:val="Hyperlink"/>
          </w:rPr>
          <w:t xml:space="preserve">Membranes</w:t>
        </w:r>
        <w:r>
          <w:rPr>
            <w:rStyle w:val="Hyperlink"/>
          </w:rPr>
          <w:t xml:space="preserve">:</w:t>
        </w:r>
        <w:r>
          <w:rPr>
            <w:rStyle w:val="Hyperlink"/>
          </w:rPr>
          <w:t xml:space="preserve"> </w:t>
        </w:r>
        <w:r>
          <w:rPr>
            <w:rStyle w:val="Hyperlink"/>
          </w:rPr>
          <w:t xml:space="preserve">Toward</w:t>
        </w:r>
        <w:r>
          <w:rPr>
            <w:rStyle w:val="Hyperlink"/>
          </w:rPr>
          <w:t xml:space="preserve"> </w:t>
        </w:r>
        <w:r>
          <w:rPr>
            <w:rStyle w:val="Hyperlink"/>
          </w:rPr>
          <w:t xml:space="preserve">a</w:t>
        </w:r>
        <w:r>
          <w:rPr>
            <w:rStyle w:val="Hyperlink"/>
          </w:rPr>
          <w:t xml:space="preserve"> </w:t>
        </w:r>
        <w:r>
          <w:rPr>
            <w:rStyle w:val="Hyperlink"/>
          </w:rPr>
          <w:t xml:space="preserve">Computational Biochemistry</w:t>
        </w:r>
        <w:r>
          <w:rPr>
            <w:rStyle w:val="Hyperlink"/>
          </w:rPr>
          <w:t xml:space="preserve"> </w:t>
        </w:r>
        <w:r>
          <w:rPr>
            <w:rStyle w:val="Hyperlink"/>
          </w:rPr>
          <w:t xml:space="preserve">of</w:t>
        </w:r>
        <w:r>
          <w:rPr>
            <w:rStyle w:val="Hyperlink"/>
          </w:rPr>
          <w:t xml:space="preserve"> </w:t>
        </w:r>
        <w:r>
          <w:rPr>
            <w:rStyle w:val="Hyperlink"/>
          </w:rPr>
          <w:t xml:space="preserve">Membrane Recognition</w:t>
        </w:r>
      </w:hyperlink>
      <w:r>
        <w:t xml:space="preserve">.</w:t>
      </w:r>
      <w:r>
        <w:t xml:space="preserve"> </w:t>
      </w:r>
      <w:r>
        <w:rPr>
          <w:iCs/>
          <w:i/>
        </w:rPr>
        <w:t xml:space="preserve">Journal of Molecular Biology</w:t>
      </w:r>
      <w:r>
        <w:t xml:space="preserve">. 430:372–388.</w:t>
      </w:r>
    </w:p>
    <w:bookmarkEnd w:id="199"/>
    <w:bookmarkStart w:id="201" w:name="X67989be2bb0408792f066940fc295a5e320d13a"/>
    <w:p>
      <w:pPr>
        <w:pStyle w:val="Bibliography"/>
      </w:pPr>
      <w:r>
        <w:t xml:space="preserve">50.</w:t>
      </w:r>
      <w:r>
        <w:t xml:space="preserve"> </w:t>
      </w:r>
      <w:r>
        <w:t xml:space="preserve">	</w:t>
      </w:r>
      <w:r>
        <w:t xml:space="preserve">Shoemaker, B.A., J.J. Portman, and P.G. Wolynes. 2000.</w:t>
      </w:r>
      <w:r>
        <w:t xml:space="preserve"> </w:t>
      </w:r>
      <w:hyperlink r:id="rId200">
        <w:r>
          <w:rPr>
            <w:rStyle w:val="Hyperlink"/>
          </w:rPr>
          <w:t xml:space="preserve">Speeding molecular recognition by using the folding funnel: The fly-casting mechanism</w:t>
        </w:r>
      </w:hyperlink>
      <w:r>
        <w:t xml:space="preserve">.</w:t>
      </w:r>
      <w:r>
        <w:t xml:space="preserve"> </w:t>
      </w:r>
      <w:r>
        <w:rPr>
          <w:iCs/>
          <w:i/>
        </w:rPr>
        <w:t xml:space="preserve">Proceedings of the National Academy of Sciences of the United States of America</w:t>
      </w:r>
      <w:r>
        <w:t xml:space="preserve">. 97:8868–8873.</w:t>
      </w:r>
    </w:p>
    <w:bookmarkEnd w:id="201"/>
    <w:bookmarkStart w:id="203" w:name="Xa95e1ae17d5024ca38f50d09af7560aae8209e0"/>
    <w:p>
      <w:pPr>
        <w:pStyle w:val="Bibliography"/>
      </w:pPr>
      <w:r>
        <w:t xml:space="preserve">51.</w:t>
      </w:r>
      <w:r>
        <w:t xml:space="preserve"> </w:t>
      </w:r>
      <w:r>
        <w:t xml:space="preserve">	</w:t>
      </w:r>
      <w:r>
        <w:t xml:space="preserve">Huang, Y., and Z. Liu. 2009.</w:t>
      </w:r>
      <w:r>
        <w:t xml:space="preserve"> </w:t>
      </w:r>
      <w:hyperlink r:id="rId202">
        <w:r>
          <w:rPr>
            <w:rStyle w:val="Hyperlink"/>
          </w:rPr>
          <w:t xml:space="preserve">Kinetic</w:t>
        </w:r>
        <w:r>
          <w:rPr>
            <w:rStyle w:val="Hyperlink"/>
          </w:rPr>
          <w:t xml:space="preserve"> </w:t>
        </w:r>
        <w:r>
          <w:rPr>
            <w:rStyle w:val="Hyperlink"/>
          </w:rPr>
          <w:t xml:space="preserve">Advantage</w:t>
        </w:r>
        <w:r>
          <w:rPr>
            <w:rStyle w:val="Hyperlink"/>
          </w:rPr>
          <w:t xml:space="preserve"> </w:t>
        </w:r>
        <w:r>
          <w:rPr>
            <w:rStyle w:val="Hyperlink"/>
          </w:rPr>
          <w:t xml:space="preserve">of</w:t>
        </w:r>
        <w:r>
          <w:rPr>
            <w:rStyle w:val="Hyperlink"/>
          </w:rPr>
          <w:t xml:space="preserve"> </w:t>
        </w:r>
        <w:r>
          <w:rPr>
            <w:rStyle w:val="Hyperlink"/>
          </w:rPr>
          <w:t xml:space="preserve">Intrinsically Disordered Proteins</w:t>
        </w:r>
        <w:r>
          <w:rPr>
            <w:rStyle w:val="Hyperlink"/>
          </w:rPr>
          <w:t xml:space="preserve"> </w:t>
        </w:r>
        <w:r>
          <w:rPr>
            <w:rStyle w:val="Hyperlink"/>
          </w:rPr>
          <w:t xml:space="preserve">in</w:t>
        </w:r>
        <w:r>
          <w:rPr>
            <w:rStyle w:val="Hyperlink"/>
          </w:rPr>
          <w:t xml:space="preserve"> </w:t>
        </w:r>
        <w:r>
          <w:rPr>
            <w:rStyle w:val="Hyperlink"/>
          </w:rPr>
          <w:t xml:space="preserve">Coupled Folding</w:t>
        </w:r>
        <w:r>
          <w:rPr>
            <w:rStyle w:val="Hyperlink"/>
          </w:rPr>
          <w:t xml:space="preserve">:</w:t>
        </w:r>
        <w:r>
          <w:rPr>
            <w:rStyle w:val="Hyperlink"/>
          </w:rPr>
          <w:t xml:space="preserve"> </w:t>
        </w:r>
        <w:r>
          <w:rPr>
            <w:rStyle w:val="Hyperlink"/>
          </w:rPr>
          <w:t xml:space="preserve">A Critical Assessment</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Fly-Casting</w:t>
        </w:r>
        <w:r>
          <w:rPr>
            <w:rStyle w:val="Hyperlink"/>
          </w:rPr>
          <w:t xml:space="preserve">”</w:t>
        </w:r>
        <w:r>
          <w:rPr>
            <w:rStyle w:val="Hyperlink"/>
          </w:rPr>
          <w:t xml:space="preserve"> </w:t>
        </w:r>
        <w:r>
          <w:rPr>
            <w:rStyle w:val="Hyperlink"/>
          </w:rPr>
          <w:t xml:space="preserve">Mechanism</w:t>
        </w:r>
      </w:hyperlink>
      <w:r>
        <w:t xml:space="preserve">.</w:t>
      </w:r>
      <w:r>
        <w:t xml:space="preserve"> </w:t>
      </w:r>
      <w:r>
        <w:rPr>
          <w:iCs/>
          <w:i/>
        </w:rPr>
        <w:t xml:space="preserve">Journal of Molecular Biology</w:t>
      </w:r>
      <w:r>
        <w:t xml:space="preserve">. 393:1143–1159.</w:t>
      </w:r>
    </w:p>
    <w:bookmarkEnd w:id="203"/>
    <w:bookmarkStart w:id="205" w:name="X70b3122746bbfdfc5c1a4ffebe432935158471e"/>
    <w:p>
      <w:pPr>
        <w:pStyle w:val="Bibliography"/>
      </w:pPr>
      <w:r>
        <w:t xml:space="preserve">52.</w:t>
      </w:r>
      <w:r>
        <w:t xml:space="preserve"> </w:t>
      </w:r>
      <w:r>
        <w:t xml:space="preserve">	</w:t>
      </w:r>
      <w:r>
        <w:t xml:space="preserve">Bauer, M.S., F. Baumann, C. Daday, P. Redondo, E. Durner, M.A. Jobst, L.F. Milles, D. Mercadante, D.A. Pippig, H.E. Gaub, F. Gräter, and D. Lietha. 2019.</w:t>
      </w:r>
      <w:r>
        <w:t xml:space="preserve"> </w:t>
      </w:r>
      <w:hyperlink r:id="rId204">
        <w:r>
          <w:rPr>
            <w:rStyle w:val="Hyperlink"/>
          </w:rPr>
          <w:t xml:space="preserve">Structural and mechanistic insights into mechanoactivation of focal adhesion kinase</w:t>
        </w:r>
      </w:hyperlink>
      <w:r>
        <w:t xml:space="preserve">.</w:t>
      </w:r>
      <w:r>
        <w:t xml:space="preserve"> </w:t>
      </w:r>
      <w:r>
        <w:rPr>
          <w:iCs/>
          <w:i/>
        </w:rPr>
        <w:t xml:space="preserve">Proceedings of the National Academy of Sciences</w:t>
      </w:r>
      <w:r>
        <w:t xml:space="preserve">. 116:6766–6774.</w:t>
      </w:r>
    </w:p>
    <w:bookmarkEnd w:id="205"/>
    <w:bookmarkEnd w:id="206"/>
    <w:bookmarkEnd w:id="207"/>
    <w:bookmarkStart w:id="237" w:name="supplementary-material"/>
    <w:p>
      <w:pPr>
        <w:pStyle w:val="Heading1"/>
      </w:pPr>
      <w:r>
        <w:t xml:space="preserve">Supplementary Material</w:t>
      </w:r>
    </w:p>
    <w:bookmarkStart w:id="208" w:name="sec-system"/>
    <w:p>
      <w:pPr>
        <w:pStyle w:val="Heading2"/>
      </w:pPr>
      <w:r>
        <w:t xml:space="preserve">Simulation System</w:t>
      </w:r>
    </w:p>
    <w:bookmarkEnd w:id="208"/>
    <w:bookmarkStart w:id="212"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0" name="Picture"/>
                  <a:graphic>
                    <a:graphicData uri="http://schemas.openxmlformats.org/drawingml/2006/picture">
                      <pic:pic>
                        <pic:nvPicPr>
                          <pic:cNvPr descr="/opt/quarto/share/formats/docx/note.png" id="211" name="Picture"/>
                          <pic:cNvPicPr>
                            <a:picLocks noChangeArrowheads="1" noChangeAspect="1"/>
                          </pic:cNvPicPr>
                        </pic:nvPicPr>
                        <pic:blipFill>
                          <a:blip r:embed="rId2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End w:id="212"/>
    <w:bookmarkStart w:id="236" w:name="supplementary-plots-and-tables"/>
    <w:p>
      <w:pPr>
        <w:pStyle w:val="Heading2"/>
      </w:pPr>
      <w:r>
        <w:t xml:space="preserve">Supplementary Plots and Tables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16" w:name="fig-loop-rmsf"/>
                <w:p>
                  <w:pPr>
                    <w:pStyle w:val="Figure"/>
                    <w:jc w:val="center"/>
                    <w:jc w:val="center"/>
                  </w:pPr>
                  <w:r>
                    <w:drawing>
                      <wp:inline>
                        <wp:extent cx="2971800" cy="1671637"/>
                        <wp:effectExtent b="0" l="0" r="0" t="0"/>
                        <wp:docPr descr="" title="" id="214" name="Picture"/>
                        <a:graphic>
                          <a:graphicData uri="http://schemas.openxmlformats.org/drawingml/2006/picture">
                            <pic:pic>
                              <pic:nvPicPr>
                                <pic:cNvPr descr="./assets/results/figures/loop-rmsf.png" id="215" name="Picture"/>
                                <pic:cNvPicPr>
                                  <a:picLocks noChangeArrowheads="1" noChangeAspect="1"/>
                                </pic:cNvPicPr>
                              </pic:nvPicPr>
                              <pic:blipFill>
                                <a:blip r:embed="rId213"/>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216"/>
              </w:tc>
            </w:tr>
          </w:tbl>
          <w:p/>
        </w:tc>
        <w:tc>
          <w:tcPr/>
          <w:tbl>
            <w:tblPr>
              <w:tblStyle w:val="Table"/>
              <w:tblW w:type="pct" w:w="5000"/>
              <w:tblLook w:firstRow="0" w:lastRow="0" w:firstColumn="0" w:lastColumn="0" w:noHBand="0" w:noVBand="0" w:val="0000"/>
            </w:tblPr>
            <w:tblGrid>
              <w:gridCol w:w="7920"/>
            </w:tblGrid>
            <w:tr>
              <w:tc>
                <w:tcPr/>
                <w:bookmarkStart w:id="220" w:name="fig-r-hist"/>
                <w:p>
                  <w:pPr>
                    <w:pStyle w:val="Figure"/>
                    <w:jc w:val="center"/>
                    <w:jc w:val="center"/>
                  </w:pPr>
                  <w:r>
                    <w:drawing>
                      <wp:inline>
                        <wp:extent cx="2971800" cy="2122714"/>
                        <wp:effectExtent b="0" l="0" r="0" t="0"/>
                        <wp:docPr descr="" title="" id="218" name="Picture"/>
                        <a:graphic>
                          <a:graphicData uri="http://schemas.openxmlformats.org/drawingml/2006/picture">
                            <pic:pic>
                              <pic:nvPicPr>
                                <pic:cNvPr descr="./results/plots/f0f1-distance-cutoff-1.png" id="219" name="Picture"/>
                                <pic:cNvPicPr>
                                  <a:picLocks noChangeArrowheads="1" noChangeAspect="1"/>
                                </pic:cNvPicPr>
                              </pic:nvPicPr>
                              <pic:blipFill>
                                <a:blip r:embed="rId217"/>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22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24" w:name="fig-ferm-time-ri-npip-all"/>
                <w:p>
                  <w:pPr>
                    <w:pStyle w:val="Figure"/>
                    <w:jc w:val="center"/>
                    <w:jc w:val="center"/>
                  </w:pPr>
                  <w:r>
                    <w:drawing>
                      <wp:inline>
                        <wp:extent cx="2971800" cy="2122714"/>
                        <wp:effectExtent b="0" l="0" r="0" t="0"/>
                        <wp:docPr descr="" title="" id="222" name="Picture"/>
                        <a:graphic>
                          <a:graphicData uri="http://schemas.openxmlformats.org/drawingml/2006/picture">
                            <pic:pic>
                              <pic:nvPicPr>
                                <pic:cNvPr descr="./results/plots/ferm-time-ri-npip-all-1.png" id="223" name="Picture"/>
                                <pic:cNvPicPr>
                                  <a:picLocks noChangeArrowheads="1" noChangeAspect="1"/>
                                </pic:cNvPicPr>
                              </pic:nvPicPr>
                              <pic:blipFill>
                                <a:blip r:embed="rId221"/>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224"/>
              </w:tc>
            </w:tr>
          </w:tbl>
          <w:p/>
        </w:tc>
        <w:tc>
          <w:tcPr/>
          <w:tbl>
            <w:tblPr>
              <w:tblStyle w:val="Table"/>
              <w:tblW w:type="pct" w:w="5000"/>
              <w:tblLook w:firstRow="0" w:lastRow="0" w:firstColumn="0" w:lastColumn="0" w:noHBand="0" w:noVBand="0" w:val="0000"/>
            </w:tblPr>
            <w:tblGrid>
              <w:gridCol w:w="7920"/>
            </w:tblGrid>
            <w:tr>
              <w:tc>
                <w:tcPr/>
                <w:bookmarkStart w:id="228" w:name="fig-f0f1-vert-pull-residues"/>
                <w:p>
                  <w:pPr>
                    <w:pStyle w:val="Figure"/>
                    <w:jc w:val="center"/>
                    <w:jc w:val="center"/>
                  </w:pPr>
                  <w:r>
                    <w:drawing>
                      <wp:inline>
                        <wp:extent cx="2971800" cy="2122714"/>
                        <wp:effectExtent b="0" l="0" r="0" t="0"/>
                        <wp:docPr descr="" title="" id="226" name="Picture"/>
                        <a:graphic>
                          <a:graphicData uri="http://schemas.openxmlformats.org/drawingml/2006/picture">
                            <pic:pic>
                              <pic:nvPicPr>
                                <pic:cNvPr descr="./results/plots/f0f1-vert-pull-residues-1.png" id="227" name="Picture"/>
                                <pic:cNvPicPr>
                                  <a:picLocks noChangeArrowheads="1" noChangeAspect="1"/>
                                </pic:cNvPicPr>
                              </pic:nvPicPr>
                              <pic:blipFill>
                                <a:blip r:embed="rId22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22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232" w:name="fig-f0f1-vert-pull-run4"/>
                <w:p>
                  <w:pPr>
                    <w:pStyle w:val="Figure"/>
                    <w:jc w:val="center"/>
                    <w:jc w:val="center"/>
                  </w:pPr>
                  <w:r>
                    <w:drawing>
                      <wp:inline>
                        <wp:extent cx="5334000" cy="2933700"/>
                        <wp:effectExtent b="0" l="0" r="0" t="0"/>
                        <wp:docPr descr="" title="" id="230" name="Picture"/>
                        <a:graphic>
                          <a:graphicData uri="http://schemas.openxmlformats.org/drawingml/2006/picture">
                            <pic:pic>
                              <pic:nvPicPr>
                                <pic:cNvPr descr="./assets/vmd/f0f1-pulling/snapshot-run4.png" id="231" name="Picture"/>
                                <pic:cNvPicPr>
                                  <a:picLocks noChangeArrowheads="1" noChangeAspect="1"/>
                                </pic:cNvPicPr>
                              </pic:nvPicPr>
                              <pic:blipFill>
                                <a:blip r:embed="rId229"/>
                                <a:stretch>
                                  <a:fillRect/>
                                </a:stretch>
                              </pic:blipFill>
                              <pic:spPr bwMode="auto">
                                <a:xfrm>
                                  <a:off x="0" y="0"/>
                                  <a:ext cx="5334000" cy="2933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w:t>
                  </w:r>
                </w:p>
                <w:bookmarkEnd w:id="232"/>
              </w:tc>
            </w:tr>
          </w:tbl>
          <w:p/>
        </w:tc>
      </w:tr>
    </w:tbl>
    <w:p>
      <w:pPr>
        <w:pStyle w:val="BodyText"/>
      </w:pPr>
      <w:pPr>
        <w:spacing w:before="200"/>
        <w:pStyle w:val="ImageCaption"/>
      </w:pPr>
      <w:r>
        <w:t xml:space="preserve">Figure 7:</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r>
        <w:t xml:space="preserve"> </w:t>
      </w:r>
      <w:r>
        <w:rPr>
          <w:bCs/>
          <w:b/>
        </w:rPr>
        <w:t xml:space="preserve">e)</w:t>
      </w:r>
      <w:r>
        <w:t xml:space="preserve"> </w:t>
      </w:r>
      <w:r>
        <w:t xml:space="preserve">Run 4 of the vertical pulling of F0F1. Interactions between the protein and PIP</w:t>
      </w:r>
      <w:r>
        <w:rPr>
          <w:vertAlign w:val="subscript"/>
        </w:rPr>
        <w:t xml:space="preserve">2</w:t>
      </w:r>
      <w:r>
        <w:t xml:space="preserve"> </w:t>
      </w:r>
      <w:r>
        <w:t xml:space="preserve">were so strong that a total of 3 molecules of PIP</w:t>
      </w:r>
      <w:r>
        <w:rPr>
          <w:vertAlign w:val="subscript"/>
        </w:rPr>
        <w:t xml:space="preserve">2</w:t>
      </w:r>
      <w:r>
        <w:t xml:space="preserve"> </w:t>
      </w:r>
      <w:r>
        <w:t xml:space="preserve">(gray) were pulled out of the membrane (1 by F0 (green) and 2 by the F1 loop (blue)).</w:t>
      </w:r>
    </w:p>
    <w:bookmarkStart w:id="233" w:name="tbl-f0f1-top-interacting"/>
    <w:p>
      <w:pPr>
        <w:pStyle w:val="TableCaption"/>
      </w:pPr>
      <w:r>
        <w:t xml:space="preserve">Table 1: Top residues interacting with F0F1</w:t>
      </w:r>
    </w:p>
    <w:tbl>
      <w:tblPr>
        <w:tblStyle w:val="Table"/>
        <w:tblW w:type="auto" w:w="0"/>
        <w:tblLook w:firstRow="1" w:lastRow="0" w:firstColumn="0" w:lastColumn="0" w:noHBand="0" w:noVBand="0" w:val="0020"/>
        <w:tblCaption w:val="Table 1: Top residues interacting with F0F1"/>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0.188</w:t>
            </w:r>
          </w:p>
        </w:tc>
      </w:tr>
      <w:tr>
        <w:tc>
          <w:tcPr/>
          <w:p>
            <w:pPr>
              <w:pStyle w:val="Compact"/>
              <w:jc w:val="left"/>
            </w:pPr>
            <w:r>
              <w:t xml:space="preserve">K 15</w:t>
            </w:r>
          </w:p>
        </w:tc>
        <w:tc>
          <w:tcPr/>
          <w:p>
            <w:pPr>
              <w:pStyle w:val="Compact"/>
              <w:jc w:val="right"/>
            </w:pPr>
            <w:r>
              <w:t xml:space="preserve">0.184</w:t>
            </w:r>
          </w:p>
        </w:tc>
      </w:tr>
      <w:tr>
        <w:tc>
          <w:tcPr/>
          <w:p>
            <w:pPr>
              <w:pStyle w:val="Compact"/>
              <w:jc w:val="left"/>
            </w:pPr>
            <w:r>
              <w:t xml:space="preserve">R 30</w:t>
            </w:r>
          </w:p>
        </w:tc>
        <w:tc>
          <w:tcPr/>
          <w:p>
            <w:pPr>
              <w:pStyle w:val="Compact"/>
              <w:jc w:val="right"/>
            </w:pPr>
            <w:r>
              <w:t xml:space="preserve">0.173</w:t>
            </w:r>
          </w:p>
        </w:tc>
      </w:tr>
      <w:tr>
        <w:tc>
          <w:tcPr/>
          <w:p>
            <w:pPr>
              <w:pStyle w:val="Compact"/>
              <w:jc w:val="left"/>
            </w:pPr>
            <w:r>
              <w:t xml:space="preserve">R 35</w:t>
            </w:r>
          </w:p>
        </w:tc>
        <w:tc>
          <w:tcPr/>
          <w:p>
            <w:pPr>
              <w:pStyle w:val="Compact"/>
              <w:jc w:val="right"/>
            </w:pPr>
            <w:r>
              <w:t xml:space="preserve">0.245</w:t>
            </w:r>
          </w:p>
        </w:tc>
      </w:tr>
      <w:tr>
        <w:tc>
          <w:tcPr/>
          <w:p>
            <w:pPr>
              <w:pStyle w:val="Compact"/>
              <w:jc w:val="left"/>
            </w:pPr>
            <w:r>
              <w:t xml:space="preserve">R 74</w:t>
            </w:r>
          </w:p>
        </w:tc>
        <w:tc>
          <w:tcPr/>
          <w:p>
            <w:pPr>
              <w:pStyle w:val="Compact"/>
              <w:jc w:val="right"/>
            </w:pPr>
            <w:r>
              <w:t xml:space="preserve">0.124</w:t>
            </w:r>
          </w:p>
        </w:tc>
      </w:tr>
      <w:tr>
        <w:tc>
          <w:tcPr/>
          <w:p>
            <w:pPr>
              <w:pStyle w:val="Compact"/>
              <w:jc w:val="left"/>
            </w:pPr>
            <w:r>
              <w:t xml:space="preserve">K 98</w:t>
            </w:r>
          </w:p>
        </w:tc>
        <w:tc>
          <w:tcPr/>
          <w:p>
            <w:pPr>
              <w:pStyle w:val="Compact"/>
              <w:jc w:val="right"/>
            </w:pPr>
            <w:r>
              <w:t xml:space="preserve">0.176</w:t>
            </w:r>
          </w:p>
        </w:tc>
      </w:tr>
      <w:tr>
        <w:tc>
          <w:tcPr/>
          <w:p>
            <w:pPr>
              <w:pStyle w:val="Compact"/>
              <w:jc w:val="left"/>
            </w:pPr>
            <w:r>
              <w:t xml:space="preserve">R 118</w:t>
            </w:r>
          </w:p>
        </w:tc>
        <w:tc>
          <w:tcPr/>
          <w:p>
            <w:pPr>
              <w:pStyle w:val="Compact"/>
              <w:jc w:val="right"/>
            </w:pPr>
            <w:r>
              <w:t xml:space="preserve">0.209</w:t>
            </w:r>
          </w:p>
        </w:tc>
      </w:tr>
      <w:tr>
        <w:tc>
          <w:tcPr/>
          <w:p>
            <w:pPr>
              <w:pStyle w:val="Compact"/>
              <w:jc w:val="left"/>
            </w:pPr>
            <w:r>
              <w:t xml:space="preserve">T 144</w:t>
            </w:r>
          </w:p>
        </w:tc>
        <w:tc>
          <w:tcPr/>
          <w:p>
            <w:pPr>
              <w:pStyle w:val="Compact"/>
              <w:jc w:val="right"/>
            </w:pPr>
            <w:r>
              <w:t xml:space="preserve">0.299</w:t>
            </w:r>
          </w:p>
        </w:tc>
      </w:tr>
      <w:tr>
        <w:tc>
          <w:tcPr/>
          <w:p>
            <w:pPr>
              <w:pStyle w:val="Compact"/>
              <w:jc w:val="left"/>
            </w:pPr>
            <w:r>
              <w:t xml:space="preserve">L 145</w:t>
            </w:r>
          </w:p>
        </w:tc>
        <w:tc>
          <w:tcPr/>
          <w:p>
            <w:pPr>
              <w:pStyle w:val="Compact"/>
              <w:jc w:val="right"/>
            </w:pPr>
            <w:r>
              <w:t xml:space="preserve">0.168</w:t>
            </w:r>
          </w:p>
        </w:tc>
      </w:tr>
      <w:tr>
        <w:tc>
          <w:tcPr/>
          <w:p>
            <w:pPr>
              <w:pStyle w:val="Compact"/>
              <w:jc w:val="left"/>
            </w:pPr>
            <w:r>
              <w:t xml:space="preserve">K 147</w:t>
            </w:r>
          </w:p>
        </w:tc>
        <w:tc>
          <w:tcPr/>
          <w:p>
            <w:pPr>
              <w:pStyle w:val="Compact"/>
              <w:jc w:val="right"/>
            </w:pPr>
            <w:r>
              <w:t xml:space="preserve">0.263</w:t>
            </w:r>
          </w:p>
        </w:tc>
      </w:tr>
      <w:tr>
        <w:tc>
          <w:tcPr/>
          <w:p>
            <w:pPr>
              <w:pStyle w:val="Compact"/>
              <w:jc w:val="left"/>
            </w:pPr>
            <w:r>
              <w:t xml:space="preserve">L 151</w:t>
            </w:r>
          </w:p>
        </w:tc>
        <w:tc>
          <w:tcPr/>
          <w:p>
            <w:pPr>
              <w:pStyle w:val="Compact"/>
              <w:jc w:val="right"/>
            </w:pPr>
            <w:r>
              <w:t xml:space="preserve">0.325</w:t>
            </w:r>
          </w:p>
        </w:tc>
      </w:tr>
      <w:tr>
        <w:tc>
          <w:tcPr/>
          <w:p>
            <w:pPr>
              <w:pStyle w:val="Compact"/>
              <w:jc w:val="left"/>
            </w:pPr>
            <w:r>
              <w:t xml:space="preserve">D 154</w:t>
            </w:r>
          </w:p>
        </w:tc>
        <w:tc>
          <w:tcPr/>
          <w:p>
            <w:pPr>
              <w:pStyle w:val="Compact"/>
              <w:jc w:val="right"/>
            </w:pPr>
            <w:r>
              <w:t xml:space="preserve">0.248</w:t>
            </w:r>
          </w:p>
        </w:tc>
      </w:tr>
      <w:tr>
        <w:tc>
          <w:tcPr/>
          <w:p>
            <w:pPr>
              <w:pStyle w:val="Compact"/>
              <w:jc w:val="left"/>
            </w:pPr>
            <w:r>
              <w:t xml:space="preserve">E 155</w:t>
            </w:r>
          </w:p>
        </w:tc>
        <w:tc>
          <w:tcPr/>
          <w:p>
            <w:pPr>
              <w:pStyle w:val="Compact"/>
              <w:jc w:val="right"/>
            </w:pPr>
            <w:r>
              <w:t xml:space="preserve">0.261</w:t>
            </w:r>
          </w:p>
        </w:tc>
      </w:tr>
      <w:tr>
        <w:tc>
          <w:tcPr/>
          <w:p>
            <w:pPr>
              <w:pStyle w:val="Compact"/>
              <w:jc w:val="left"/>
            </w:pPr>
            <w:r>
              <w:t xml:space="preserve">M 158</w:t>
            </w:r>
          </w:p>
        </w:tc>
        <w:tc>
          <w:tcPr/>
          <w:p>
            <w:pPr>
              <w:pStyle w:val="Compact"/>
              <w:jc w:val="right"/>
            </w:pPr>
            <w:r>
              <w:t xml:space="preserve">0.272</w:t>
            </w:r>
          </w:p>
        </w:tc>
      </w:tr>
      <w:tr>
        <w:tc>
          <w:tcPr/>
          <w:p>
            <w:pPr>
              <w:pStyle w:val="Compact"/>
              <w:jc w:val="left"/>
            </w:pPr>
            <w:r>
              <w:t xml:space="preserve">K 160</w:t>
            </w:r>
          </w:p>
        </w:tc>
        <w:tc>
          <w:tcPr/>
          <w:p>
            <w:pPr>
              <w:pStyle w:val="Compact"/>
              <w:jc w:val="right"/>
            </w:pPr>
            <w:r>
              <w:t xml:space="preserve">0.254</w:t>
            </w:r>
          </w:p>
        </w:tc>
      </w:tr>
      <w:tr>
        <w:tc>
          <w:tcPr/>
          <w:p>
            <w:pPr>
              <w:pStyle w:val="Compact"/>
              <w:jc w:val="left"/>
            </w:pPr>
            <w:r>
              <w:t xml:space="preserve">K 162</w:t>
            </w:r>
          </w:p>
        </w:tc>
        <w:tc>
          <w:tcPr/>
          <w:p>
            <w:pPr>
              <w:pStyle w:val="Compact"/>
              <w:jc w:val="right"/>
            </w:pPr>
            <w:r>
              <w:t xml:space="preserve">0.181</w:t>
            </w:r>
          </w:p>
        </w:tc>
      </w:tr>
      <w:tr>
        <w:tc>
          <w:tcPr/>
          <w:p>
            <w:pPr>
              <w:pStyle w:val="Compact"/>
              <w:jc w:val="left"/>
            </w:pPr>
            <w:r>
              <w:t xml:space="preserve">L 193</w:t>
            </w:r>
          </w:p>
        </w:tc>
        <w:tc>
          <w:tcPr/>
          <w:p>
            <w:pPr>
              <w:pStyle w:val="Compact"/>
              <w:jc w:val="right"/>
            </w:pPr>
            <w:r>
              <w:t xml:space="preserve">0.200</w:t>
            </w:r>
          </w:p>
        </w:tc>
      </w:tr>
      <w:tr>
        <w:tc>
          <w:tcPr/>
          <w:p>
            <w:pPr>
              <w:pStyle w:val="Compact"/>
              <w:jc w:val="left"/>
            </w:pPr>
            <w:r>
              <w:t xml:space="preserve">R 194</w:t>
            </w:r>
          </w:p>
        </w:tc>
        <w:tc>
          <w:tcPr/>
          <w:p>
            <w:pPr>
              <w:pStyle w:val="Compact"/>
              <w:jc w:val="right"/>
            </w:pPr>
            <w:r>
              <w:t xml:space="preserve">0.101</w:t>
            </w:r>
          </w:p>
        </w:tc>
      </w:tr>
    </w:tbl>
    <w:bookmarkEnd w:id="233"/>
    <w:bookmarkStart w:id="234" w:name="tbl-ferm-top-interacting"/>
    <w:p>
      <w:pPr>
        <w:pStyle w:val="TableCaption"/>
      </w:pPr>
      <w:r>
        <w:t xml:space="preserve">Table 2: Top residues interacting with FERM</w:t>
      </w:r>
    </w:p>
    <w:tbl>
      <w:tblPr>
        <w:tblStyle w:val="Table"/>
        <w:tblW w:type="auto" w:w="0"/>
        <w:tblLook w:firstRow="1" w:lastRow="0" w:firstColumn="0" w:lastColumn="0" w:noHBand="0" w:noVBand="0" w:val="0020"/>
        <w:tblCaption w:val="Table 2: Top residues interacting with FERM"/>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0.118</w:t>
            </w:r>
          </w:p>
        </w:tc>
      </w:tr>
      <w:tr>
        <w:tc>
          <w:tcPr/>
          <w:p>
            <w:pPr>
              <w:pStyle w:val="Compact"/>
              <w:jc w:val="left"/>
            </w:pPr>
            <w:r>
              <w:t xml:space="preserve">T 144</w:t>
            </w:r>
          </w:p>
        </w:tc>
        <w:tc>
          <w:tcPr/>
          <w:p>
            <w:pPr>
              <w:pStyle w:val="Compact"/>
              <w:jc w:val="right"/>
            </w:pPr>
            <w:r>
              <w:t xml:space="preserve">0.322</w:t>
            </w:r>
          </w:p>
        </w:tc>
      </w:tr>
      <w:tr>
        <w:tc>
          <w:tcPr/>
          <w:p>
            <w:pPr>
              <w:pStyle w:val="Compact"/>
              <w:jc w:val="left"/>
            </w:pPr>
            <w:r>
              <w:t xml:space="preserve">L 145</w:t>
            </w:r>
          </w:p>
        </w:tc>
        <w:tc>
          <w:tcPr/>
          <w:p>
            <w:pPr>
              <w:pStyle w:val="Compact"/>
              <w:jc w:val="right"/>
            </w:pPr>
            <w:r>
              <w:t xml:space="preserve">0.129</w:t>
            </w:r>
          </w:p>
        </w:tc>
      </w:tr>
      <w:tr>
        <w:tc>
          <w:tcPr/>
          <w:p>
            <w:pPr>
              <w:pStyle w:val="Compact"/>
              <w:jc w:val="left"/>
            </w:pPr>
            <w:r>
              <w:t xml:space="preserve">K 147</w:t>
            </w:r>
          </w:p>
        </w:tc>
        <w:tc>
          <w:tcPr/>
          <w:p>
            <w:pPr>
              <w:pStyle w:val="Compact"/>
              <w:jc w:val="right"/>
            </w:pPr>
            <w:r>
              <w:t xml:space="preserve">0.412</w:t>
            </w:r>
          </w:p>
        </w:tc>
      </w:tr>
      <w:tr>
        <w:tc>
          <w:tcPr/>
          <w:p>
            <w:pPr>
              <w:pStyle w:val="Compact"/>
              <w:jc w:val="left"/>
            </w:pPr>
            <w:r>
              <w:t xml:space="preserve">L 151</w:t>
            </w:r>
          </w:p>
        </w:tc>
        <w:tc>
          <w:tcPr/>
          <w:p>
            <w:pPr>
              <w:pStyle w:val="Compact"/>
              <w:jc w:val="right"/>
            </w:pPr>
            <w:r>
              <w:t xml:space="preserve">0.204</w:t>
            </w:r>
          </w:p>
        </w:tc>
      </w:tr>
      <w:tr>
        <w:tc>
          <w:tcPr/>
          <w:p>
            <w:pPr>
              <w:pStyle w:val="Compact"/>
              <w:jc w:val="left"/>
            </w:pPr>
            <w:r>
              <w:t xml:space="preserve">D 154</w:t>
            </w:r>
          </w:p>
        </w:tc>
        <w:tc>
          <w:tcPr/>
          <w:p>
            <w:pPr>
              <w:pStyle w:val="Compact"/>
              <w:jc w:val="right"/>
            </w:pPr>
            <w:r>
              <w:t xml:space="preserve">0.293</w:t>
            </w:r>
          </w:p>
        </w:tc>
      </w:tr>
      <w:tr>
        <w:tc>
          <w:tcPr/>
          <w:p>
            <w:pPr>
              <w:pStyle w:val="Compact"/>
              <w:jc w:val="left"/>
            </w:pPr>
            <w:r>
              <w:t xml:space="preserve">E 155</w:t>
            </w:r>
          </w:p>
        </w:tc>
        <w:tc>
          <w:tcPr/>
          <w:p>
            <w:pPr>
              <w:pStyle w:val="Compact"/>
              <w:jc w:val="right"/>
            </w:pPr>
            <w:r>
              <w:t xml:space="preserve">0.257</w:t>
            </w:r>
          </w:p>
        </w:tc>
      </w:tr>
      <w:tr>
        <w:tc>
          <w:tcPr/>
          <w:p>
            <w:pPr>
              <w:pStyle w:val="Compact"/>
              <w:jc w:val="left"/>
            </w:pPr>
            <w:r>
              <w:t xml:space="preserve">M 158</w:t>
            </w:r>
          </w:p>
        </w:tc>
        <w:tc>
          <w:tcPr/>
          <w:p>
            <w:pPr>
              <w:pStyle w:val="Compact"/>
              <w:jc w:val="right"/>
            </w:pPr>
            <w:r>
              <w:t xml:space="preserve">0.246</w:t>
            </w:r>
          </w:p>
        </w:tc>
      </w:tr>
      <w:tr>
        <w:tc>
          <w:tcPr/>
          <w:p>
            <w:pPr>
              <w:pStyle w:val="Compact"/>
              <w:jc w:val="left"/>
            </w:pPr>
            <w:r>
              <w:t xml:space="preserve">K 160</w:t>
            </w:r>
          </w:p>
        </w:tc>
        <w:tc>
          <w:tcPr/>
          <w:p>
            <w:pPr>
              <w:pStyle w:val="Compact"/>
              <w:jc w:val="right"/>
            </w:pPr>
            <w:r>
              <w:t xml:space="preserve">0.459</w:t>
            </w:r>
          </w:p>
        </w:tc>
      </w:tr>
      <w:tr>
        <w:tc>
          <w:tcPr/>
          <w:p>
            <w:pPr>
              <w:pStyle w:val="Compact"/>
              <w:jc w:val="left"/>
            </w:pPr>
            <w:r>
              <w:t xml:space="preserve">K 162</w:t>
            </w:r>
          </w:p>
        </w:tc>
        <w:tc>
          <w:tcPr/>
          <w:p>
            <w:pPr>
              <w:pStyle w:val="Compact"/>
              <w:jc w:val="right"/>
            </w:pPr>
            <w:r>
              <w:t xml:space="preserve">0.195</w:t>
            </w:r>
          </w:p>
        </w:tc>
      </w:tr>
      <w:tr>
        <w:tc>
          <w:tcPr/>
          <w:p>
            <w:pPr>
              <w:pStyle w:val="Compact"/>
              <w:jc w:val="left"/>
            </w:pPr>
            <w:r>
              <w:t xml:space="preserve">Y 270</w:t>
            </w:r>
          </w:p>
        </w:tc>
        <w:tc>
          <w:tcPr/>
          <w:p>
            <w:pPr>
              <w:pStyle w:val="Compact"/>
              <w:jc w:val="right"/>
            </w:pPr>
            <w:r>
              <w:t xml:space="preserve">0.156</w:t>
            </w:r>
          </w:p>
        </w:tc>
      </w:tr>
      <w:tr>
        <w:tc>
          <w:tcPr/>
          <w:p>
            <w:pPr>
              <w:pStyle w:val="Compact"/>
              <w:jc w:val="left"/>
            </w:pPr>
            <w:r>
              <w:t xml:space="preserve">K 272</w:t>
            </w:r>
          </w:p>
        </w:tc>
        <w:tc>
          <w:tcPr/>
          <w:p>
            <w:pPr>
              <w:pStyle w:val="Compact"/>
              <w:jc w:val="right"/>
            </w:pPr>
            <w:r>
              <w:t xml:space="preserve">0.180</w:t>
            </w:r>
          </w:p>
        </w:tc>
      </w:tr>
      <w:tr>
        <w:tc>
          <w:tcPr/>
          <w:p>
            <w:pPr>
              <w:pStyle w:val="Compact"/>
              <w:jc w:val="left"/>
            </w:pPr>
            <w:r>
              <w:t xml:space="preserve">G 275</w:t>
            </w:r>
          </w:p>
        </w:tc>
        <w:tc>
          <w:tcPr/>
          <w:p>
            <w:pPr>
              <w:pStyle w:val="Compact"/>
              <w:jc w:val="right"/>
            </w:pPr>
            <w:r>
              <w:t xml:space="preserve">0.222</w:t>
            </w:r>
          </w:p>
        </w:tc>
      </w:tr>
      <w:tr>
        <w:tc>
          <w:tcPr/>
          <w:p>
            <w:pPr>
              <w:pStyle w:val="Compact"/>
              <w:jc w:val="left"/>
            </w:pPr>
            <w:r>
              <w:t xml:space="preserve">L 314</w:t>
            </w:r>
          </w:p>
        </w:tc>
        <w:tc>
          <w:tcPr/>
          <w:p>
            <w:pPr>
              <w:pStyle w:val="Compact"/>
              <w:jc w:val="right"/>
            </w:pPr>
            <w:r>
              <w:t xml:space="preserve">0.141</w:t>
            </w:r>
          </w:p>
        </w:tc>
      </w:tr>
      <w:tr>
        <w:tc>
          <w:tcPr/>
          <w:p>
            <w:pPr>
              <w:pStyle w:val="Compact"/>
              <w:jc w:val="left"/>
            </w:pPr>
            <w:r>
              <w:t xml:space="preserve">K 316</w:t>
            </w:r>
          </w:p>
        </w:tc>
        <w:tc>
          <w:tcPr/>
          <w:p>
            <w:pPr>
              <w:pStyle w:val="Compact"/>
              <w:jc w:val="right"/>
            </w:pPr>
            <w:r>
              <w:t xml:space="preserve">0.304</w:t>
            </w:r>
          </w:p>
        </w:tc>
      </w:tr>
      <w:tr>
        <w:tc>
          <w:tcPr/>
          <w:p>
            <w:pPr>
              <w:pStyle w:val="Compact"/>
              <w:jc w:val="left"/>
            </w:pPr>
            <w:r>
              <w:t xml:space="preserve">K 318</w:t>
            </w:r>
          </w:p>
        </w:tc>
        <w:tc>
          <w:tcPr/>
          <w:p>
            <w:pPr>
              <w:pStyle w:val="Compact"/>
              <w:jc w:val="right"/>
            </w:pPr>
            <w:r>
              <w:t xml:space="preserve">0.148</w:t>
            </w:r>
          </w:p>
        </w:tc>
      </w:tr>
      <w:tr>
        <w:tc>
          <w:tcPr/>
          <w:p>
            <w:pPr>
              <w:pStyle w:val="Compact"/>
              <w:jc w:val="left"/>
            </w:pPr>
            <w:r>
              <w:t xml:space="preserve">K 320</w:t>
            </w:r>
          </w:p>
        </w:tc>
        <w:tc>
          <w:tcPr/>
          <w:p>
            <w:pPr>
              <w:pStyle w:val="Compact"/>
              <w:jc w:val="right"/>
            </w:pPr>
            <w:r>
              <w:t xml:space="preserve">0.552</w:t>
            </w:r>
          </w:p>
        </w:tc>
      </w:tr>
      <w:tr>
        <w:tc>
          <w:tcPr/>
          <w:p>
            <w:pPr>
              <w:pStyle w:val="Compact"/>
              <w:jc w:val="left"/>
            </w:pPr>
            <w:r>
              <w:t xml:space="preserve">G 321</w:t>
            </w:r>
          </w:p>
        </w:tc>
        <w:tc>
          <w:tcPr/>
          <w:p>
            <w:pPr>
              <w:pStyle w:val="Compact"/>
              <w:jc w:val="right"/>
            </w:pPr>
            <w:r>
              <w:t xml:space="preserve">0.174</w:t>
            </w:r>
          </w:p>
        </w:tc>
      </w:tr>
      <w:tr>
        <w:tc>
          <w:tcPr/>
          <w:p>
            <w:pPr>
              <w:pStyle w:val="Compact"/>
              <w:jc w:val="left"/>
            </w:pPr>
            <w:r>
              <w:t xml:space="preserve">K 322</w:t>
            </w:r>
          </w:p>
        </w:tc>
        <w:tc>
          <w:tcPr/>
          <w:p>
            <w:pPr>
              <w:pStyle w:val="Compact"/>
              <w:jc w:val="right"/>
            </w:pPr>
            <w:r>
              <w:t xml:space="preserve">0.442</w:t>
            </w:r>
          </w:p>
        </w:tc>
      </w:tr>
      <w:tr>
        <w:tc>
          <w:tcPr/>
          <w:p>
            <w:pPr>
              <w:pStyle w:val="Compact"/>
              <w:jc w:val="left"/>
            </w:pPr>
            <w:r>
              <w:t xml:space="preserve">D 341</w:t>
            </w:r>
          </w:p>
        </w:tc>
        <w:tc>
          <w:tcPr/>
          <w:p>
            <w:pPr>
              <w:pStyle w:val="Compact"/>
              <w:jc w:val="right"/>
            </w:pPr>
            <w:r>
              <w:t xml:space="preserve">0.142</w:t>
            </w:r>
          </w:p>
        </w:tc>
      </w:tr>
      <w:tr>
        <w:tc>
          <w:tcPr/>
          <w:p>
            <w:pPr>
              <w:pStyle w:val="Compact"/>
              <w:jc w:val="left"/>
            </w:pPr>
            <w:r>
              <w:t xml:space="preserve">S 362</w:t>
            </w:r>
          </w:p>
        </w:tc>
        <w:tc>
          <w:tcPr/>
          <w:p>
            <w:pPr>
              <w:pStyle w:val="Compact"/>
              <w:jc w:val="right"/>
            </w:pPr>
            <w:r>
              <w:t xml:space="preserve">0.363</w:t>
            </w:r>
          </w:p>
        </w:tc>
      </w:tr>
    </w:tbl>
    <w:bookmarkEnd w:id="234"/>
    <w:bookmarkStart w:id="235" w:name="sec-prod-mdp"/>
    <w:p>
      <w:pPr>
        <w:pStyle w:val="Heading3"/>
      </w:pPr>
      <w:r>
        <w:t xml:space="preserve">Molecular Dynamics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235"/>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82" Target="media/rId82.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99" Target="media/rId99.png" /><Relationship Type="http://schemas.openxmlformats.org/officeDocument/2006/relationships/image" Id="rId65" Target="media/rId65.png" /><Relationship Type="http://schemas.openxmlformats.org/officeDocument/2006/relationships/image" Id="rId217" Target="media/rId217.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225" Target="media/rId225.png" /><Relationship Type="http://schemas.openxmlformats.org/officeDocument/2006/relationships/image" Id="rId95" Target="media/rId95.png" /><Relationship Type="http://schemas.openxmlformats.org/officeDocument/2006/relationships/image" Id="rId221" Target="media/rId221.png" /><Relationship Type="http://schemas.openxmlformats.org/officeDocument/2006/relationships/image" Id="rId209" Target="media/rId209.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66" Target="https://doi.org/10.1002/cpps.20" TargetMode="External" /><Relationship Type="http://schemas.openxmlformats.org/officeDocument/2006/relationships/hyperlink" Id="rId168" Target="https://doi.org/10.1002/jcc.20084" TargetMode="External" /><Relationship Type="http://schemas.openxmlformats.org/officeDocument/2006/relationships/hyperlink" Id="rId172" Target="https://doi.org/10.1002/jcc.20945" TargetMode="External" /><Relationship Type="http://schemas.openxmlformats.org/officeDocument/2006/relationships/hyperlink" Id="rId170" Target="https://doi.org/10.1002/jcc.21287" TargetMode="External" /><Relationship Type="http://schemas.openxmlformats.org/officeDocument/2006/relationships/hyperlink" Id="rId158" Target="https://doi.org/10.1016/0010-4655(95)00042-E" TargetMode="External" /><Relationship Type="http://schemas.openxmlformats.org/officeDocument/2006/relationships/hyperlink" Id="rId124" Target="https://doi.org/10.1016/S0968-0004(98)01237-7" TargetMode="External" /><Relationship Type="http://schemas.openxmlformats.org/officeDocument/2006/relationships/hyperlink" Id="rId182" Target="https://doi.org/10.1016/j.bpj.2018.01.033" TargetMode="External" /><Relationship Type="http://schemas.openxmlformats.org/officeDocument/2006/relationships/hyperlink" Id="rId110" Target="https://doi.org/10.1016/j.ceb.2014.06.003" TargetMode="External" /><Relationship Type="http://schemas.openxmlformats.org/officeDocument/2006/relationships/hyperlink" Id="rId152" Target="https://doi.org/10.1016/j.cell.2019.08.034" TargetMode="External" /><Relationship Type="http://schemas.openxmlformats.org/officeDocument/2006/relationships/hyperlink" Id="rId202" Target="https://doi.org/10.1016/j.jmb.2009.09.010" TargetMode="External" /><Relationship Type="http://schemas.openxmlformats.org/officeDocument/2006/relationships/hyperlink" Id="rId198" Target="https://doi.org/10.1016/j.jmb.2017.12.011" TargetMode="External" /><Relationship Type="http://schemas.openxmlformats.org/officeDocument/2006/relationships/hyperlink" Id="rId160" Target="https://doi.org/10.1016/j.softx.2015.06.001" TargetMode="External" /><Relationship Type="http://schemas.openxmlformats.org/officeDocument/2006/relationships/hyperlink" Id="rId134" Target="https://doi.org/10.1016/j.str.2010.07.011" TargetMode="External" /><Relationship Type="http://schemas.openxmlformats.org/officeDocument/2006/relationships/hyperlink" Id="rId196" Target="https://doi.org/10.1016/j.str.2015.08.008" TargetMode="External" /><Relationship Type="http://schemas.openxmlformats.org/officeDocument/2006/relationships/hyperlink" Id="rId174" Target="https://doi.org/10.1021/acs.jctc.5b00935" TargetMode="External" /><Relationship Type="http://schemas.openxmlformats.org/officeDocument/2006/relationships/hyperlink" Id="rId140" Target="https://doi.org/10.1038/320531a0" TargetMode="External" /><Relationship Type="http://schemas.openxmlformats.org/officeDocument/2006/relationships/hyperlink" Id="rId130" Target="https://doi.org/10.1038/cr.2012.97" TargetMode="External" /><Relationship Type="http://schemas.openxmlformats.org/officeDocument/2006/relationships/hyperlink" Id="rId132" Target="https://doi.org/10.1038/emboj.2010.4" TargetMode="External" /><Relationship Type="http://schemas.openxmlformats.org/officeDocument/2006/relationships/hyperlink" Id="rId112" Target="https://doi.org/10.1038/embor.2013.49" TargetMode="External" /><Relationship Type="http://schemas.openxmlformats.org/officeDocument/2006/relationships/hyperlink" Id="rId128" Target="https://doi.org/10.1038/ncb3115" TargetMode="External" /><Relationship Type="http://schemas.openxmlformats.org/officeDocument/2006/relationships/hyperlink" Id="rId120" Target="https://doi.org/10.1038/ncomms11966" TargetMode="External" /><Relationship Type="http://schemas.openxmlformats.org/officeDocument/2006/relationships/hyperlink" Id="rId108" Target="https://doi.org/10.1038/nrm1890" TargetMode="External" /><Relationship Type="http://schemas.openxmlformats.org/officeDocument/2006/relationships/hyperlink" Id="rId138" Target="https://doi.org/10.1038/nrm3624" TargetMode="External" /><Relationship Type="http://schemas.openxmlformats.org/officeDocument/2006/relationships/hyperlink" Id="rId194" Target="https://doi.org/10.1038/s41467-018-03648-4" TargetMode="External" /><Relationship Type="http://schemas.openxmlformats.org/officeDocument/2006/relationships/hyperlink" Id="rId114" Target="https://doi.org/10.1038/s41556-017-0005-z" TargetMode="External" /><Relationship Type="http://schemas.openxmlformats.org/officeDocument/2006/relationships/hyperlink" Id="rId116" Target="https://doi.org/10.1053/j.gastro.2003.10.078" TargetMode="External" /><Relationship Type="http://schemas.openxmlformats.org/officeDocument/2006/relationships/hyperlink" Id="rId180" Target="https://doi.org/10.1063/1.328693" TargetMode="External" /><Relationship Type="http://schemas.openxmlformats.org/officeDocument/2006/relationships/hyperlink" Id="rId178" Target="https://doi.org/10.1063/1.447334" TargetMode="External" /><Relationship Type="http://schemas.openxmlformats.org/officeDocument/2006/relationships/hyperlink" Id="rId200" Target="https://doi.org/10.1073/pnas.160259697" TargetMode="External" /><Relationship Type="http://schemas.openxmlformats.org/officeDocument/2006/relationships/hyperlink" Id="rId146" Target="https://doi.org/10.1073/pnas.1806275115" TargetMode="External" /><Relationship Type="http://schemas.openxmlformats.org/officeDocument/2006/relationships/hyperlink" Id="rId204" Target="https://doi.org/10.1073/pnas.1820567116" TargetMode="External" /><Relationship Type="http://schemas.openxmlformats.org/officeDocument/2006/relationships/hyperlink" Id="rId142" Target="https://doi.org/10.1073/pnas.94.11.5679" TargetMode="External" /><Relationship Type="http://schemas.openxmlformats.org/officeDocument/2006/relationships/hyperlink" Id="rId118" Target="https://doi.org/10.1074/jbc.270.30.18133" TargetMode="External" /><Relationship Type="http://schemas.openxmlformats.org/officeDocument/2006/relationships/hyperlink" Id="rId136" Target="https://doi.org/10.1074/jbc.274.40.28071" TargetMode="External" /><Relationship Type="http://schemas.openxmlformats.org/officeDocument/2006/relationships/hyperlink" Id="rId150" Target="https://doi.org/10.1074/jbc.M112.341214" TargetMode="External" /><Relationship Type="http://schemas.openxmlformats.org/officeDocument/2006/relationships/hyperlink" Id="rId148" Target="https://doi.org/10.1083/jcb.200908134" TargetMode="External" /><Relationship Type="http://schemas.openxmlformats.org/officeDocument/2006/relationships/hyperlink" Id="rId186" Target="https://doi.org/10.1093/nar/gkab314" TargetMode="External" /><Relationship Type="http://schemas.openxmlformats.org/officeDocument/2006/relationships/hyperlink" Id="rId176" Target="https://doi.org/10.1103/PhysRevA.31.1695" TargetMode="External" /><Relationship Type="http://schemas.openxmlformats.org/officeDocument/2006/relationships/hyperlink" Id="rId122" Target="https://doi.org/10.1126/science.1086652" TargetMode="External" /><Relationship Type="http://schemas.openxmlformats.org/officeDocument/2006/relationships/hyperlink" Id="rId126" Target="https://doi.org/10.1128/MCB.00609-10" TargetMode="External" /><Relationship Type="http://schemas.openxmlformats.org/officeDocument/2006/relationships/hyperlink" Id="rId164" Target="https://doi.org/10.1146/annurev.biophys.29.1.291" TargetMode="External" /><Relationship Type="http://schemas.openxmlformats.org/officeDocument/2006/relationships/hyperlink" Id="rId144" Target="https://doi.org/10.1242/jcs.190991" TargetMode="External" /><Relationship Type="http://schemas.openxmlformats.org/officeDocument/2006/relationships/hyperlink" Id="rId156" Target="https://doi.org/10.1371/journal.pcbi.1004593" TargetMode="External" /><Relationship Type="http://schemas.openxmlformats.org/officeDocument/2006/relationships/hyperlink" Id="rId154" Target="https://doi.org/10.1371/journal.pcbi.1005028" TargetMode="External" /><Relationship Type="http://schemas.openxmlformats.org/officeDocument/2006/relationships/hyperlink" Id="rId162" Target="https://doi.org/10.5281/zenodo.3562495" TargetMode="External" /><Relationship Type="http://schemas.openxmlformats.org/officeDocument/2006/relationships/hyperlink" Id="rId190"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66" Target="https://doi.org/10.1002/cpps.20" TargetMode="External" /><Relationship Type="http://schemas.openxmlformats.org/officeDocument/2006/relationships/hyperlink" Id="rId168" Target="https://doi.org/10.1002/jcc.20084" TargetMode="External" /><Relationship Type="http://schemas.openxmlformats.org/officeDocument/2006/relationships/hyperlink" Id="rId172" Target="https://doi.org/10.1002/jcc.20945" TargetMode="External" /><Relationship Type="http://schemas.openxmlformats.org/officeDocument/2006/relationships/hyperlink" Id="rId170" Target="https://doi.org/10.1002/jcc.21287" TargetMode="External" /><Relationship Type="http://schemas.openxmlformats.org/officeDocument/2006/relationships/hyperlink" Id="rId158" Target="https://doi.org/10.1016/0010-4655(95)00042-E" TargetMode="External" /><Relationship Type="http://schemas.openxmlformats.org/officeDocument/2006/relationships/hyperlink" Id="rId124" Target="https://doi.org/10.1016/S0968-0004(98)01237-7" TargetMode="External" /><Relationship Type="http://schemas.openxmlformats.org/officeDocument/2006/relationships/hyperlink" Id="rId182" Target="https://doi.org/10.1016/j.bpj.2018.01.033" TargetMode="External" /><Relationship Type="http://schemas.openxmlformats.org/officeDocument/2006/relationships/hyperlink" Id="rId110" Target="https://doi.org/10.1016/j.ceb.2014.06.003" TargetMode="External" /><Relationship Type="http://schemas.openxmlformats.org/officeDocument/2006/relationships/hyperlink" Id="rId152" Target="https://doi.org/10.1016/j.cell.2019.08.034" TargetMode="External" /><Relationship Type="http://schemas.openxmlformats.org/officeDocument/2006/relationships/hyperlink" Id="rId202" Target="https://doi.org/10.1016/j.jmb.2009.09.010" TargetMode="External" /><Relationship Type="http://schemas.openxmlformats.org/officeDocument/2006/relationships/hyperlink" Id="rId198" Target="https://doi.org/10.1016/j.jmb.2017.12.011" TargetMode="External" /><Relationship Type="http://schemas.openxmlformats.org/officeDocument/2006/relationships/hyperlink" Id="rId160" Target="https://doi.org/10.1016/j.softx.2015.06.001" TargetMode="External" /><Relationship Type="http://schemas.openxmlformats.org/officeDocument/2006/relationships/hyperlink" Id="rId134" Target="https://doi.org/10.1016/j.str.2010.07.011" TargetMode="External" /><Relationship Type="http://schemas.openxmlformats.org/officeDocument/2006/relationships/hyperlink" Id="rId196" Target="https://doi.org/10.1016/j.str.2015.08.008" TargetMode="External" /><Relationship Type="http://schemas.openxmlformats.org/officeDocument/2006/relationships/hyperlink" Id="rId174" Target="https://doi.org/10.1021/acs.jctc.5b00935" TargetMode="External" /><Relationship Type="http://schemas.openxmlformats.org/officeDocument/2006/relationships/hyperlink" Id="rId140" Target="https://doi.org/10.1038/320531a0" TargetMode="External" /><Relationship Type="http://schemas.openxmlformats.org/officeDocument/2006/relationships/hyperlink" Id="rId130" Target="https://doi.org/10.1038/cr.2012.97" TargetMode="External" /><Relationship Type="http://schemas.openxmlformats.org/officeDocument/2006/relationships/hyperlink" Id="rId132" Target="https://doi.org/10.1038/emboj.2010.4" TargetMode="External" /><Relationship Type="http://schemas.openxmlformats.org/officeDocument/2006/relationships/hyperlink" Id="rId112" Target="https://doi.org/10.1038/embor.2013.49" TargetMode="External" /><Relationship Type="http://schemas.openxmlformats.org/officeDocument/2006/relationships/hyperlink" Id="rId128" Target="https://doi.org/10.1038/ncb3115" TargetMode="External" /><Relationship Type="http://schemas.openxmlformats.org/officeDocument/2006/relationships/hyperlink" Id="rId120" Target="https://doi.org/10.1038/ncomms11966" TargetMode="External" /><Relationship Type="http://schemas.openxmlformats.org/officeDocument/2006/relationships/hyperlink" Id="rId108" Target="https://doi.org/10.1038/nrm1890" TargetMode="External" /><Relationship Type="http://schemas.openxmlformats.org/officeDocument/2006/relationships/hyperlink" Id="rId138" Target="https://doi.org/10.1038/nrm3624" TargetMode="External" /><Relationship Type="http://schemas.openxmlformats.org/officeDocument/2006/relationships/hyperlink" Id="rId194" Target="https://doi.org/10.1038/s41467-018-03648-4" TargetMode="External" /><Relationship Type="http://schemas.openxmlformats.org/officeDocument/2006/relationships/hyperlink" Id="rId114" Target="https://doi.org/10.1038/s41556-017-0005-z" TargetMode="External" /><Relationship Type="http://schemas.openxmlformats.org/officeDocument/2006/relationships/hyperlink" Id="rId116" Target="https://doi.org/10.1053/j.gastro.2003.10.078" TargetMode="External" /><Relationship Type="http://schemas.openxmlformats.org/officeDocument/2006/relationships/hyperlink" Id="rId180" Target="https://doi.org/10.1063/1.328693" TargetMode="External" /><Relationship Type="http://schemas.openxmlformats.org/officeDocument/2006/relationships/hyperlink" Id="rId178" Target="https://doi.org/10.1063/1.447334" TargetMode="External" /><Relationship Type="http://schemas.openxmlformats.org/officeDocument/2006/relationships/hyperlink" Id="rId200" Target="https://doi.org/10.1073/pnas.160259697" TargetMode="External" /><Relationship Type="http://schemas.openxmlformats.org/officeDocument/2006/relationships/hyperlink" Id="rId146" Target="https://doi.org/10.1073/pnas.1806275115" TargetMode="External" /><Relationship Type="http://schemas.openxmlformats.org/officeDocument/2006/relationships/hyperlink" Id="rId204" Target="https://doi.org/10.1073/pnas.1820567116" TargetMode="External" /><Relationship Type="http://schemas.openxmlformats.org/officeDocument/2006/relationships/hyperlink" Id="rId142" Target="https://doi.org/10.1073/pnas.94.11.5679" TargetMode="External" /><Relationship Type="http://schemas.openxmlformats.org/officeDocument/2006/relationships/hyperlink" Id="rId118" Target="https://doi.org/10.1074/jbc.270.30.18133" TargetMode="External" /><Relationship Type="http://schemas.openxmlformats.org/officeDocument/2006/relationships/hyperlink" Id="rId136" Target="https://doi.org/10.1074/jbc.274.40.28071" TargetMode="External" /><Relationship Type="http://schemas.openxmlformats.org/officeDocument/2006/relationships/hyperlink" Id="rId150" Target="https://doi.org/10.1074/jbc.M112.341214" TargetMode="External" /><Relationship Type="http://schemas.openxmlformats.org/officeDocument/2006/relationships/hyperlink" Id="rId148" Target="https://doi.org/10.1083/jcb.200908134" TargetMode="External" /><Relationship Type="http://schemas.openxmlformats.org/officeDocument/2006/relationships/hyperlink" Id="rId186" Target="https://doi.org/10.1093/nar/gkab314" TargetMode="External" /><Relationship Type="http://schemas.openxmlformats.org/officeDocument/2006/relationships/hyperlink" Id="rId176" Target="https://doi.org/10.1103/PhysRevA.31.1695" TargetMode="External" /><Relationship Type="http://schemas.openxmlformats.org/officeDocument/2006/relationships/hyperlink" Id="rId122" Target="https://doi.org/10.1126/science.1086652" TargetMode="External" /><Relationship Type="http://schemas.openxmlformats.org/officeDocument/2006/relationships/hyperlink" Id="rId126" Target="https://doi.org/10.1128/MCB.00609-10" TargetMode="External" /><Relationship Type="http://schemas.openxmlformats.org/officeDocument/2006/relationships/hyperlink" Id="rId164" Target="https://doi.org/10.1146/annurev.biophys.29.1.291" TargetMode="External" /><Relationship Type="http://schemas.openxmlformats.org/officeDocument/2006/relationships/hyperlink" Id="rId144" Target="https://doi.org/10.1242/jcs.190991" TargetMode="External" /><Relationship Type="http://schemas.openxmlformats.org/officeDocument/2006/relationships/hyperlink" Id="rId156" Target="https://doi.org/10.1371/journal.pcbi.1004593" TargetMode="External" /><Relationship Type="http://schemas.openxmlformats.org/officeDocument/2006/relationships/hyperlink" Id="rId154" Target="https://doi.org/10.1371/journal.pcbi.1005028" TargetMode="External" /><Relationship Type="http://schemas.openxmlformats.org/officeDocument/2006/relationships/hyperlink" Id="rId162" Target="https://doi.org/10.5281/zenodo.3562495" TargetMode="External" /><Relationship Type="http://schemas.openxmlformats.org/officeDocument/2006/relationships/hyperlink" Id="rId190"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 Disorder, IDP, IDR</cp:keywords>
  <dcterms:created xsi:type="dcterms:W3CDTF">2022-07-18T10:04:44Z</dcterms:created>
  <dcterms:modified xsi:type="dcterms:W3CDTF">2022-07-18T10:04:44Z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olorlinks">
    <vt:lpwstr>True</vt:lpwstr>
  </property>
  <property fmtid="{D5CDD505-2E9C-101B-9397-08002B2CF9AE}" pid="11" name="csl">
    <vt:lpwstr>./_extensions/custom/bps/biophysical-journal.csl</vt:lpwstr>
  </property>
  <property fmtid="{D5CDD505-2E9C-101B-9397-08002B2CF9AE}" pid="12" name="date">
    <vt:lpwstr>July 18, 2022</vt:lpwstr>
  </property>
  <property fmtid="{D5CDD505-2E9C-101B-9397-08002B2CF9AE}" pid="13" name="date-format">
    <vt:lpwstr>long</vt:lpwstr>
  </property>
  <property fmtid="{D5CDD505-2E9C-101B-9397-08002B2CF9AE}" pid="14" name="editor">
    <vt:lpwstr>source</vt:lpwstr>
  </property>
  <property fmtid="{D5CDD505-2E9C-101B-9397-08002B2CF9AE}" pid="15" name="editor_options">
    <vt:lpwstr/>
  </property>
  <property fmtid="{D5CDD505-2E9C-101B-9397-08002B2CF9AE}" pid="16" name="github">
    <vt:lpwstr>https://github.com/hits-mbm-dev/</vt:lpwstr>
  </property>
  <property fmtid="{D5CDD505-2E9C-101B-9397-08002B2CF9AE}" pid="17" name="header-includes">
    <vt:lpwstr/>
  </property>
  <property fmtid="{D5CDD505-2E9C-101B-9397-08002B2CF9AE}" pid="18" name="image">
    <vt:lpwstr>./assets/blender/render/frame0001.png</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cense">
    <vt:lpwstr>CC BY</vt:lpwstr>
  </property>
  <property fmtid="{D5CDD505-2E9C-101B-9397-08002B2CF9AE}" pid="23" name="repo">
    <vt:lpwstr>paper-talin-loop</vt:lpwstr>
  </property>
  <property fmtid="{D5CDD505-2E9C-101B-9397-08002B2CF9AE}" pid="24" name="sigstatement">
    <vt:lpwstr>TODO Each manuscript must also have a statement of significance or no more than 120 words.</vt:lpwstr>
  </property>
  <property fmtid="{D5CDD505-2E9C-101B-9397-08002B2CF9AE}" pid="25" name="toc-title">
    <vt:lpwstr>Table of contents</vt:lpwstr>
  </property>
</Properties>
</file>